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1" w:rsidRDefault="00840921" w:rsidP="00502DD5">
      <w:pPr>
        <w:spacing w:after="360" w:line="30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502DD5" w:rsidRDefault="00502DD5" w:rsidP="00502DD5">
      <w:pPr>
        <w:spacing w:after="360" w:line="30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2DD5">
        <w:rPr>
          <w:rFonts w:ascii="Times New Roman" w:hAnsi="Times New Roman" w:cs="Times New Roman"/>
          <w:i/>
          <w:sz w:val="24"/>
          <w:szCs w:val="24"/>
          <w:lang w:val="en-US"/>
        </w:rPr>
        <w:t>Journal of Biogeography</w:t>
      </w:r>
    </w:p>
    <w:p w:rsidR="00502DD5" w:rsidRPr="00502DD5" w:rsidRDefault="00502DD5" w:rsidP="00502DD5">
      <w:pPr>
        <w:spacing w:after="360" w:line="30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2DD5" w:rsidRDefault="00502DD5" w:rsidP="00502DD5">
      <w:pPr>
        <w:spacing w:after="360" w:line="30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502DD5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SUPPORTING INFORMATION</w:t>
      </w:r>
    </w:p>
    <w:p w:rsidR="00502DD5" w:rsidRPr="00502DD5" w:rsidRDefault="00E207B5" w:rsidP="00502DD5">
      <w:pPr>
        <w:spacing w:after="36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Local</w:t>
      </w:r>
      <w:r w:rsidR="00502DD5" w:rsidRPr="00502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adaptation driv</w:t>
      </w:r>
      <w:r w:rsidR="00081675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502DD5" w:rsidRPr="00502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population isolation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tropical seabird</w:t>
      </w:r>
    </w:p>
    <w:p w:rsidR="00502DD5" w:rsidRPr="003C4022" w:rsidRDefault="00502DD5" w:rsidP="00502DD5">
      <w:pPr>
        <w:spacing w:after="36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22">
        <w:rPr>
          <w:rFonts w:ascii="Times New Roman" w:hAnsi="Times New Roman" w:cs="Times New Roman"/>
          <w:sz w:val="24"/>
          <w:szCs w:val="24"/>
        </w:rPr>
        <w:t xml:space="preserve">Guilherme Tavares Nunes </w:t>
      </w:r>
      <w:r w:rsidR="00081675">
        <w:rPr>
          <w:rFonts w:ascii="Times New Roman" w:hAnsi="Times New Roman" w:cs="Times New Roman"/>
          <w:sz w:val="24"/>
          <w:szCs w:val="24"/>
        </w:rPr>
        <w:t>&amp;</w:t>
      </w:r>
      <w:r w:rsidR="00081675" w:rsidRPr="003C4022">
        <w:rPr>
          <w:rFonts w:ascii="Times New Roman" w:hAnsi="Times New Roman" w:cs="Times New Roman"/>
          <w:sz w:val="24"/>
          <w:szCs w:val="24"/>
        </w:rPr>
        <w:t xml:space="preserve"> </w:t>
      </w:r>
      <w:r w:rsidRPr="003C4022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3C4022">
        <w:rPr>
          <w:rFonts w:ascii="Times New Roman" w:hAnsi="Times New Roman" w:cs="Times New Roman"/>
          <w:sz w:val="24"/>
          <w:szCs w:val="24"/>
        </w:rPr>
        <w:t>Bugoni</w:t>
      </w:r>
      <w:proofErr w:type="spellEnd"/>
    </w:p>
    <w:p w:rsidR="00502DD5" w:rsidRPr="00502DD5" w:rsidRDefault="00502DD5" w:rsidP="00502DD5">
      <w:pPr>
        <w:spacing w:line="300" w:lineRule="auto"/>
        <w:jc w:val="both"/>
        <w:rPr>
          <w:rFonts w:ascii="Times New Roman" w:hAnsi="Times New Roman" w:cs="Times New Roman"/>
          <w:b/>
          <w:noProof/>
          <w:szCs w:val="24"/>
          <w:lang w:eastAsia="en-GB"/>
        </w:rPr>
      </w:pPr>
    </w:p>
    <w:p w:rsidR="00502DD5" w:rsidRPr="003C4022" w:rsidRDefault="00502DD5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B0E03" w:rsidRPr="00502DD5" w:rsidRDefault="00180205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02DD5">
        <w:rPr>
          <w:rFonts w:ascii="Times New Roman" w:hAnsi="Times New Roman" w:cs="Times New Roman"/>
          <w:b/>
          <w:sz w:val="24"/>
          <w:lang w:val="en-US"/>
        </w:rPr>
        <w:t xml:space="preserve">APPENDIX S1 </w:t>
      </w:r>
      <w:r w:rsidR="000B0E03" w:rsidRPr="00502DD5">
        <w:rPr>
          <w:rFonts w:ascii="Times New Roman" w:hAnsi="Times New Roman" w:cs="Times New Roman"/>
          <w:sz w:val="24"/>
          <w:lang w:val="en-US"/>
        </w:rPr>
        <w:t>Ad</w:t>
      </w:r>
      <w:r w:rsidR="00502DD5">
        <w:rPr>
          <w:rFonts w:ascii="Times New Roman" w:hAnsi="Times New Roman" w:cs="Times New Roman"/>
          <w:sz w:val="24"/>
          <w:lang w:val="en-US"/>
        </w:rPr>
        <w:t>ditional methodological details.</w:t>
      </w: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B0E03" w:rsidRPr="00D353AA" w:rsidRDefault="008B24DD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0B0E03" w:rsidRPr="00D353AA">
        <w:rPr>
          <w:rFonts w:ascii="Times New Roman" w:hAnsi="Times New Roman" w:cs="Times New Roman"/>
          <w:b/>
          <w:sz w:val="24"/>
          <w:lang w:val="en-US"/>
        </w:rPr>
        <w:t>. Population density calculations</w:t>
      </w: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353AA">
        <w:rPr>
          <w:rFonts w:ascii="Times New Roman" w:hAnsi="Times New Roman" w:cs="Times New Roman"/>
          <w:sz w:val="24"/>
          <w:lang w:val="en-US"/>
        </w:rPr>
        <w:t>Total area (km</w:t>
      </w:r>
      <w:r w:rsidRPr="00D353AA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) for each archipelago was obtained with the ruler tool in Google Earth Pro, by considering the maximum perimeter of emerged portions. Census-based population sizes for SPSP, FN,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Rocas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, and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Abrolhos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were obtained</w:t>
      </w:r>
      <w:r>
        <w:rPr>
          <w:rFonts w:ascii="Times New Roman" w:hAnsi="Times New Roman" w:cs="Times New Roman"/>
          <w:sz w:val="24"/>
          <w:lang w:val="en-US"/>
        </w:rPr>
        <w:t xml:space="preserve"> from Mancini</w:t>
      </w:r>
      <w:r w:rsidR="0008167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Serafini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Bugoni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(2016), and data for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Cagarras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Moleques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were obtained from Cunha</w:t>
      </w:r>
      <w:r w:rsidR="00081675">
        <w:rPr>
          <w:rFonts w:ascii="Times New Roman" w:hAnsi="Times New Roman" w:cs="Times New Roman"/>
          <w:sz w:val="24"/>
          <w:lang w:val="en-US"/>
        </w:rPr>
        <w:t>,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081675" w:rsidRPr="00F003A0">
        <w:rPr>
          <w:rFonts w:ascii="Times New Roman" w:hAnsi="Times New Roman" w:cs="Times New Roman"/>
          <w:sz w:val="24"/>
          <w:lang w:val="en-US"/>
        </w:rPr>
        <w:t xml:space="preserve">Alves, </w:t>
      </w:r>
      <w:proofErr w:type="spellStart"/>
      <w:r w:rsidR="00081675" w:rsidRPr="00F003A0">
        <w:rPr>
          <w:rFonts w:ascii="Times New Roman" w:hAnsi="Times New Roman" w:cs="Times New Roman"/>
          <w:sz w:val="24"/>
          <w:lang w:val="en-US"/>
        </w:rPr>
        <w:t>Rajão</w:t>
      </w:r>
      <w:proofErr w:type="spellEnd"/>
      <w:r w:rsidR="00081675" w:rsidRPr="00F003A0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="00081675" w:rsidRPr="00F003A0">
        <w:rPr>
          <w:rFonts w:ascii="Times New Roman" w:hAnsi="Times New Roman" w:cs="Times New Roman"/>
          <w:sz w:val="24"/>
          <w:lang w:val="en-US"/>
        </w:rPr>
        <w:t>Lanna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(2013) and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Br</w:t>
      </w:r>
      <w:r>
        <w:rPr>
          <w:rFonts w:ascii="Times New Roman" w:hAnsi="Times New Roman" w:cs="Times New Roman"/>
          <w:sz w:val="24"/>
          <w:lang w:val="en-US"/>
        </w:rPr>
        <w:t>anco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Fracasso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="00081675" w:rsidRPr="00F003A0">
        <w:rPr>
          <w:rFonts w:ascii="Times New Roman" w:hAnsi="Times New Roman" w:cs="Times New Roman"/>
          <w:sz w:val="24"/>
          <w:lang w:val="en-US"/>
        </w:rPr>
        <w:t>Moraes-Ornellas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>(2013) respectively.</w:t>
      </w: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B0E03" w:rsidRPr="00D353AA" w:rsidRDefault="008B24DD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0B0E03" w:rsidRPr="00D353AA">
        <w:rPr>
          <w:rFonts w:ascii="Times New Roman" w:hAnsi="Times New Roman" w:cs="Times New Roman"/>
          <w:b/>
          <w:sz w:val="24"/>
          <w:lang w:val="en-US"/>
        </w:rPr>
        <w:t>. Carbon and nitrogen isotopic data used for calculations of isotopic niche width</w:t>
      </w: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353AA">
        <w:rPr>
          <w:rFonts w:ascii="Times New Roman" w:hAnsi="Times New Roman" w:cs="Times New Roman"/>
          <w:sz w:val="24"/>
          <w:lang w:val="en-US"/>
        </w:rPr>
        <w:t xml:space="preserve">For calculating isotopic niche width, a previously published data set of carbon and nitrogen isotopic ratios for SPSP, FN,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Rocas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, and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Abrolhos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was used, which is based on blood samples obtained from breeding adults in 2010 an</w:t>
      </w:r>
      <w:r>
        <w:rPr>
          <w:rFonts w:ascii="Times New Roman" w:hAnsi="Times New Roman" w:cs="Times New Roman"/>
          <w:sz w:val="24"/>
          <w:lang w:val="en-US"/>
        </w:rPr>
        <w:t>d 2011 (Mancini</w:t>
      </w:r>
      <w:r w:rsidR="00081675">
        <w:rPr>
          <w:rFonts w:ascii="Times New Roman" w:hAnsi="Times New Roman" w:cs="Times New Roman"/>
          <w:sz w:val="24"/>
          <w:lang w:val="en-US"/>
        </w:rPr>
        <w:t xml:space="preserve">, Hobson, &amp;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Bugoni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2014). Additionally, samples of whole blood were taken from boobies breeding in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Cagarras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Moleques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in 2014 and processed in the laboratory following procedures descr</w:t>
      </w:r>
      <w:r>
        <w:rPr>
          <w:rFonts w:ascii="Times New Roman" w:hAnsi="Times New Roman" w:cs="Times New Roman"/>
          <w:sz w:val="24"/>
          <w:lang w:val="en-US"/>
        </w:rPr>
        <w:t xml:space="preserve">ibed in Mancini </w:t>
      </w:r>
      <w:r w:rsidRPr="00F003A0">
        <w:rPr>
          <w:rFonts w:ascii="Times New Roman" w:hAnsi="Times New Roman" w:cs="Times New Roman"/>
          <w:sz w:val="24"/>
          <w:lang w:val="en-US"/>
        </w:rPr>
        <w:t>et al</w:t>
      </w:r>
      <w:r w:rsidRPr="00081675">
        <w:rPr>
          <w:rFonts w:ascii="Times New Roman" w:hAnsi="Times New Roman" w:cs="Times New Roman"/>
          <w:sz w:val="24"/>
          <w:lang w:val="en-US"/>
        </w:rPr>
        <w:t>.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(2014). Because da</w:t>
      </w:r>
      <w:r>
        <w:rPr>
          <w:rFonts w:ascii="Times New Roman" w:hAnsi="Times New Roman" w:cs="Times New Roman"/>
          <w:sz w:val="24"/>
          <w:lang w:val="en-US"/>
        </w:rPr>
        <w:t xml:space="preserve">ta from Mancini </w:t>
      </w:r>
      <w:r w:rsidRPr="00F003A0">
        <w:rPr>
          <w:rFonts w:ascii="Times New Roman" w:hAnsi="Times New Roman" w:cs="Times New Roman"/>
          <w:sz w:val="24"/>
          <w:lang w:val="en-US"/>
        </w:rPr>
        <w:t>et al</w:t>
      </w:r>
      <w:r w:rsidRPr="00081675">
        <w:rPr>
          <w:rFonts w:ascii="Times New Roman" w:hAnsi="Times New Roman" w:cs="Times New Roman"/>
          <w:sz w:val="24"/>
          <w:lang w:val="en-US"/>
        </w:rPr>
        <w:t>.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(2014) were analyzed at a distinct laboratory, laboratory-biased results were assessed by running Pearson's correlation and </w:t>
      </w:r>
      <w:r w:rsidRPr="0035214C">
        <w:rPr>
          <w:rFonts w:ascii="Times New Roman" w:hAnsi="Times New Roman" w:cs="Times New Roman"/>
          <w:i/>
          <w:sz w:val="24"/>
          <w:lang w:val="en-US"/>
        </w:rPr>
        <w:t>t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-test with 10 samples of </w:t>
      </w:r>
      <w:r w:rsidR="005E384A">
        <w:rPr>
          <w:rFonts w:ascii="Times New Roman" w:hAnsi="Times New Roman" w:cs="Times New Roman"/>
          <w:sz w:val="24"/>
          <w:lang w:val="en-US"/>
        </w:rPr>
        <w:t xml:space="preserve">Atlantic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yellow-nosed albatross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Thalassarche</w:t>
      </w:r>
      <w:proofErr w:type="spellEnd"/>
      <w:r w:rsidRPr="00D353A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chlororhynchos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, which were sent to both </w:t>
      </w:r>
      <w:r w:rsidRPr="00D353AA">
        <w:rPr>
          <w:rFonts w:ascii="Times New Roman" w:hAnsi="Times New Roman" w:cs="Times New Roman"/>
          <w:sz w:val="24"/>
          <w:lang w:val="en-US"/>
        </w:rPr>
        <w:lastRenderedPageBreak/>
        <w:t>laboratories. Samples from the inter-laboratory comparison demonstrated a high correlation for carbon (</w:t>
      </w:r>
      <w:r w:rsidR="00081675">
        <w:rPr>
          <w:rFonts w:ascii="Times New Roman" w:hAnsi="Times New Roman" w:cs="Times New Roman"/>
          <w:i/>
          <w:sz w:val="24"/>
          <w:lang w:val="en-US"/>
        </w:rPr>
        <w:t>r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= .</w:t>
      </w:r>
      <w:r w:rsidR="0035214C">
        <w:rPr>
          <w:rFonts w:ascii="Times New Roman" w:hAnsi="Times New Roman" w:cs="Times New Roman"/>
          <w:sz w:val="24"/>
          <w:lang w:val="en-US"/>
        </w:rPr>
        <w:t>93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;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Pr="00D353AA">
        <w:rPr>
          <w:rFonts w:ascii="Times New Roman" w:hAnsi="Times New Roman" w:cs="Times New Roman"/>
          <w:sz w:val="24"/>
          <w:lang w:val="en-US"/>
        </w:rPr>
        <w:t>-value &lt; .001) and nitrogen (</w:t>
      </w:r>
      <w:r w:rsidR="00081675">
        <w:rPr>
          <w:rFonts w:ascii="Times New Roman" w:hAnsi="Times New Roman" w:cs="Times New Roman"/>
          <w:i/>
          <w:sz w:val="24"/>
          <w:lang w:val="en-US"/>
        </w:rPr>
        <w:t>r</w:t>
      </w:r>
      <w:r w:rsidR="0035214C">
        <w:rPr>
          <w:rFonts w:ascii="Times New Roman" w:hAnsi="Times New Roman" w:cs="Times New Roman"/>
          <w:sz w:val="24"/>
          <w:lang w:val="en-US"/>
        </w:rPr>
        <w:t xml:space="preserve"> = .98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; </w:t>
      </w:r>
      <w:r w:rsidRPr="00D353AA">
        <w:rPr>
          <w:rFonts w:ascii="Times New Roman" w:hAnsi="Times New Roman" w:cs="Times New Roman"/>
          <w:i/>
          <w:sz w:val="24"/>
          <w:lang w:val="en-US"/>
        </w:rPr>
        <w:t>P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-value &lt;.001). Similarly, deviations were not detected between means through a paired </w:t>
      </w:r>
      <w:r w:rsidRPr="0035214C">
        <w:rPr>
          <w:rFonts w:ascii="Times New Roman" w:hAnsi="Times New Roman" w:cs="Times New Roman"/>
          <w:i/>
          <w:sz w:val="24"/>
          <w:lang w:val="en-US"/>
        </w:rPr>
        <w:t>t</w:t>
      </w:r>
      <w:r w:rsidRPr="00D353AA">
        <w:rPr>
          <w:rFonts w:ascii="Times New Roman" w:hAnsi="Times New Roman" w:cs="Times New Roman"/>
          <w:sz w:val="24"/>
          <w:lang w:val="en-US"/>
        </w:rPr>
        <w:t>-test for carbon (</w:t>
      </w:r>
      <w:r w:rsidRPr="00D353AA">
        <w:rPr>
          <w:rFonts w:ascii="Times New Roman" w:hAnsi="Times New Roman" w:cs="Times New Roman"/>
          <w:i/>
          <w:sz w:val="24"/>
          <w:lang w:val="en-US"/>
        </w:rPr>
        <w:t>t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= -1.29;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df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= 17.99;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Pr="00D353AA">
        <w:rPr>
          <w:rFonts w:ascii="Times New Roman" w:hAnsi="Times New Roman" w:cs="Times New Roman"/>
          <w:sz w:val="24"/>
          <w:lang w:val="en-US"/>
        </w:rPr>
        <w:t>-value = .21) and nitrogen (</w:t>
      </w:r>
      <w:r w:rsidRPr="00D353AA">
        <w:rPr>
          <w:rFonts w:ascii="Times New Roman" w:hAnsi="Times New Roman" w:cs="Times New Roman"/>
          <w:i/>
          <w:sz w:val="24"/>
          <w:lang w:val="en-US"/>
        </w:rPr>
        <w:t>t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= .19;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df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= 17.99;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Pr="00D353AA">
        <w:rPr>
          <w:rFonts w:ascii="Times New Roman" w:hAnsi="Times New Roman" w:cs="Times New Roman"/>
          <w:sz w:val="24"/>
          <w:lang w:val="en-US"/>
        </w:rPr>
        <w:t>-value = .84). Thus, samples from different lab</w:t>
      </w:r>
      <w:r w:rsidR="005E384A">
        <w:rPr>
          <w:rFonts w:ascii="Times New Roman" w:hAnsi="Times New Roman" w:cs="Times New Roman"/>
          <w:sz w:val="24"/>
          <w:lang w:val="en-US"/>
        </w:rPr>
        <w:t>orator</w:t>
      </w:r>
      <w:r w:rsidR="00776C17">
        <w:rPr>
          <w:rFonts w:ascii="Times New Roman" w:hAnsi="Times New Roman" w:cs="Times New Roman"/>
          <w:sz w:val="24"/>
          <w:lang w:val="en-US"/>
        </w:rPr>
        <w:t>ie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s were pooled for subsequent analysis. Stable isotope ratios were expressed in </w:t>
      </w:r>
      <w:r w:rsidRPr="00D353AA">
        <w:rPr>
          <w:rFonts w:ascii="Times New Roman" w:hAnsi="Times New Roman" w:cs="Times New Roman"/>
          <w:i/>
          <w:sz w:val="24"/>
        </w:rPr>
        <w:t>δ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notation as parts per thousand (‰) differences from the international reference material Vienna Pee Dee Belemnite (VPDB) limestone for carbon</w:t>
      </w:r>
      <w:r w:rsidR="005E384A">
        <w:rPr>
          <w:rFonts w:ascii="Times New Roman" w:hAnsi="Times New Roman" w:cs="Times New Roman"/>
          <w:sz w:val="24"/>
          <w:lang w:val="en-US"/>
        </w:rPr>
        <w:t>,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and </w:t>
      </w:r>
      <w:r w:rsidR="005E384A">
        <w:rPr>
          <w:rFonts w:ascii="Times New Roman" w:hAnsi="Times New Roman" w:cs="Times New Roman"/>
          <w:sz w:val="24"/>
          <w:lang w:val="en-US"/>
        </w:rPr>
        <w:t xml:space="preserve">atmospheric </w:t>
      </w:r>
      <w:r w:rsidRPr="00D353AA">
        <w:rPr>
          <w:rFonts w:ascii="Times New Roman" w:hAnsi="Times New Roman" w:cs="Times New Roman"/>
          <w:sz w:val="24"/>
          <w:lang w:val="en-US"/>
        </w:rPr>
        <w:t>air for nitrogen.</w:t>
      </w: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B0E03" w:rsidRPr="00F003A0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F003A0">
        <w:rPr>
          <w:rFonts w:ascii="Times New Roman" w:hAnsi="Times New Roman" w:cs="Times New Roman"/>
          <w:b/>
          <w:sz w:val="24"/>
        </w:rPr>
        <w:t>REFERENCES</w:t>
      </w:r>
    </w:p>
    <w:p w:rsidR="000B0E03" w:rsidRPr="00D353AA" w:rsidRDefault="000B0E03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003A0">
        <w:rPr>
          <w:rFonts w:ascii="Times New Roman" w:hAnsi="Times New Roman" w:cs="Times New Roman"/>
          <w:sz w:val="24"/>
        </w:rPr>
        <w:t>Branco, J.</w:t>
      </w:r>
      <w:r w:rsidR="00731A53" w:rsidRPr="00F003A0">
        <w:rPr>
          <w:rFonts w:ascii="Times New Roman" w:hAnsi="Times New Roman" w:cs="Times New Roman"/>
          <w:sz w:val="24"/>
        </w:rPr>
        <w:t xml:space="preserve"> </w:t>
      </w:r>
      <w:r w:rsidRPr="00F003A0">
        <w:rPr>
          <w:rFonts w:ascii="Times New Roman" w:hAnsi="Times New Roman" w:cs="Times New Roman"/>
          <w:sz w:val="24"/>
        </w:rPr>
        <w:t>O., Fracasso, H.</w:t>
      </w:r>
      <w:r w:rsidR="00731A53" w:rsidRPr="00F003A0">
        <w:rPr>
          <w:rFonts w:ascii="Times New Roman" w:hAnsi="Times New Roman" w:cs="Times New Roman"/>
          <w:sz w:val="24"/>
        </w:rPr>
        <w:t xml:space="preserve"> </w:t>
      </w:r>
      <w:r w:rsidRPr="00F003A0">
        <w:rPr>
          <w:rFonts w:ascii="Times New Roman" w:hAnsi="Times New Roman" w:cs="Times New Roman"/>
          <w:sz w:val="24"/>
        </w:rPr>
        <w:t>A.</w:t>
      </w:r>
      <w:r w:rsidR="00731A53" w:rsidRPr="00F003A0">
        <w:rPr>
          <w:rFonts w:ascii="Times New Roman" w:hAnsi="Times New Roman" w:cs="Times New Roman"/>
          <w:sz w:val="24"/>
        </w:rPr>
        <w:t xml:space="preserve"> </w:t>
      </w:r>
      <w:r w:rsidRPr="00F003A0">
        <w:rPr>
          <w:rFonts w:ascii="Times New Roman" w:hAnsi="Times New Roman" w:cs="Times New Roman"/>
          <w:sz w:val="24"/>
        </w:rPr>
        <w:t>A. &amp; Moraes-</w:t>
      </w:r>
      <w:proofErr w:type="spellStart"/>
      <w:r w:rsidRPr="00F003A0">
        <w:rPr>
          <w:rFonts w:ascii="Times New Roman" w:hAnsi="Times New Roman" w:cs="Times New Roman"/>
          <w:sz w:val="24"/>
        </w:rPr>
        <w:t>Ornellas</w:t>
      </w:r>
      <w:proofErr w:type="spellEnd"/>
      <w:r w:rsidRPr="00F003A0">
        <w:rPr>
          <w:rFonts w:ascii="Times New Roman" w:hAnsi="Times New Roman" w:cs="Times New Roman"/>
          <w:sz w:val="24"/>
        </w:rPr>
        <w:t xml:space="preserve"> V.</w:t>
      </w:r>
      <w:r w:rsidR="00731A53" w:rsidRPr="00F003A0">
        <w:rPr>
          <w:rFonts w:ascii="Times New Roman" w:hAnsi="Times New Roman" w:cs="Times New Roman"/>
          <w:sz w:val="24"/>
        </w:rPr>
        <w:t xml:space="preserve"> </w:t>
      </w:r>
      <w:r w:rsidRPr="00F003A0">
        <w:rPr>
          <w:rFonts w:ascii="Times New Roman" w:hAnsi="Times New Roman" w:cs="Times New Roman"/>
          <w:sz w:val="24"/>
        </w:rPr>
        <w:t>S. (2013)</w:t>
      </w:r>
      <w:r w:rsidR="00731A53" w:rsidRPr="00F003A0">
        <w:rPr>
          <w:rFonts w:ascii="Times New Roman" w:hAnsi="Times New Roman" w:cs="Times New Roman"/>
          <w:sz w:val="24"/>
        </w:rPr>
        <w:t>.</w:t>
      </w:r>
      <w:r w:rsidRPr="00F003A0">
        <w:rPr>
          <w:rFonts w:ascii="Times New Roman" w:hAnsi="Times New Roman" w:cs="Times New Roman"/>
          <w:sz w:val="24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Reproduction and demographic trends of </w:t>
      </w:r>
      <w:r w:rsidRPr="00D353AA">
        <w:rPr>
          <w:rFonts w:ascii="Times New Roman" w:hAnsi="Times New Roman" w:cs="Times New Roman"/>
          <w:i/>
          <w:sz w:val="24"/>
          <w:lang w:val="en-US"/>
        </w:rPr>
        <w:t xml:space="preserve">Sula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leucogaster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at the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Moleques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Sul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731A53">
        <w:rPr>
          <w:rFonts w:ascii="Times New Roman" w:hAnsi="Times New Roman" w:cs="Times New Roman"/>
          <w:sz w:val="24"/>
          <w:lang w:val="en-US"/>
        </w:rPr>
        <w:t>A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rchipelago, Santa Catarina, Brazil. </w:t>
      </w:r>
      <w:r w:rsidRPr="00D353AA">
        <w:rPr>
          <w:rFonts w:ascii="Times New Roman" w:hAnsi="Times New Roman" w:cs="Times New Roman"/>
          <w:i/>
          <w:sz w:val="24"/>
        </w:rPr>
        <w:t xml:space="preserve">Biota </w:t>
      </w:r>
      <w:proofErr w:type="spellStart"/>
      <w:r w:rsidRPr="00D353AA">
        <w:rPr>
          <w:rFonts w:ascii="Times New Roman" w:hAnsi="Times New Roman" w:cs="Times New Roman"/>
          <w:i/>
          <w:sz w:val="24"/>
        </w:rPr>
        <w:t>Neotropica</w:t>
      </w:r>
      <w:proofErr w:type="spellEnd"/>
      <w:r w:rsidRPr="00D353AA">
        <w:rPr>
          <w:rFonts w:ascii="Times New Roman" w:hAnsi="Times New Roman" w:cs="Times New Roman"/>
          <w:sz w:val="24"/>
        </w:rPr>
        <w:t>,</w:t>
      </w:r>
      <w:r w:rsidRPr="00731A53">
        <w:rPr>
          <w:rFonts w:ascii="Times New Roman" w:hAnsi="Times New Roman" w:cs="Times New Roman"/>
          <w:sz w:val="24"/>
        </w:rPr>
        <w:t xml:space="preserve"> </w:t>
      </w:r>
      <w:r w:rsidRPr="00F003A0">
        <w:rPr>
          <w:rFonts w:ascii="Times New Roman" w:hAnsi="Times New Roman" w:cs="Times New Roman"/>
          <w:sz w:val="24"/>
        </w:rPr>
        <w:t>13</w:t>
      </w:r>
      <w:r w:rsidRPr="00D353AA">
        <w:rPr>
          <w:rFonts w:ascii="Times New Roman" w:hAnsi="Times New Roman" w:cs="Times New Roman"/>
          <w:sz w:val="24"/>
        </w:rPr>
        <w:t>, 39–45.</w:t>
      </w:r>
    </w:p>
    <w:p w:rsidR="000B0E03" w:rsidRPr="0035214C" w:rsidRDefault="000B0E03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353AA">
        <w:rPr>
          <w:rFonts w:ascii="Times New Roman" w:hAnsi="Times New Roman" w:cs="Times New Roman"/>
          <w:sz w:val="24"/>
        </w:rPr>
        <w:t>Cunha, L.</w:t>
      </w:r>
      <w:r w:rsidR="00731A53">
        <w:rPr>
          <w:rFonts w:ascii="Times New Roman" w:hAnsi="Times New Roman" w:cs="Times New Roman"/>
          <w:sz w:val="24"/>
        </w:rPr>
        <w:t xml:space="preserve"> </w:t>
      </w:r>
      <w:r w:rsidRPr="00D353AA">
        <w:rPr>
          <w:rFonts w:ascii="Times New Roman" w:hAnsi="Times New Roman" w:cs="Times New Roman"/>
          <w:sz w:val="24"/>
        </w:rPr>
        <w:t>S.</w:t>
      </w:r>
      <w:r w:rsidR="00731A53">
        <w:rPr>
          <w:rFonts w:ascii="Times New Roman" w:hAnsi="Times New Roman" w:cs="Times New Roman"/>
          <w:sz w:val="24"/>
        </w:rPr>
        <w:t xml:space="preserve"> </w:t>
      </w:r>
      <w:r w:rsidRPr="00D353AA">
        <w:rPr>
          <w:rFonts w:ascii="Times New Roman" w:hAnsi="Times New Roman" w:cs="Times New Roman"/>
          <w:sz w:val="24"/>
        </w:rPr>
        <w:t>T., Alves, V.</w:t>
      </w:r>
      <w:r w:rsidR="00731A53">
        <w:rPr>
          <w:rFonts w:ascii="Times New Roman" w:hAnsi="Times New Roman" w:cs="Times New Roman"/>
          <w:sz w:val="24"/>
        </w:rPr>
        <w:t xml:space="preserve"> </w:t>
      </w:r>
      <w:r w:rsidRPr="00D353AA">
        <w:rPr>
          <w:rFonts w:ascii="Times New Roman" w:hAnsi="Times New Roman" w:cs="Times New Roman"/>
          <w:sz w:val="24"/>
        </w:rPr>
        <w:t xml:space="preserve">S., Rajão, H. &amp; </w:t>
      </w:r>
      <w:proofErr w:type="spellStart"/>
      <w:r w:rsidRPr="00D353AA">
        <w:rPr>
          <w:rFonts w:ascii="Times New Roman" w:hAnsi="Times New Roman" w:cs="Times New Roman"/>
          <w:sz w:val="24"/>
        </w:rPr>
        <w:t>Lanna</w:t>
      </w:r>
      <w:proofErr w:type="spellEnd"/>
      <w:r w:rsidRPr="00D353AA">
        <w:rPr>
          <w:rFonts w:ascii="Times New Roman" w:hAnsi="Times New Roman" w:cs="Times New Roman"/>
          <w:sz w:val="24"/>
        </w:rPr>
        <w:t>, A.</w:t>
      </w:r>
      <w:r w:rsidR="00731A53">
        <w:rPr>
          <w:rFonts w:ascii="Times New Roman" w:hAnsi="Times New Roman" w:cs="Times New Roman"/>
          <w:sz w:val="24"/>
        </w:rPr>
        <w:t xml:space="preserve"> </w:t>
      </w:r>
      <w:r w:rsidRPr="00D353AA">
        <w:rPr>
          <w:rFonts w:ascii="Times New Roman" w:hAnsi="Times New Roman" w:cs="Times New Roman"/>
          <w:sz w:val="24"/>
        </w:rPr>
        <w:t>M. (2013)</w:t>
      </w:r>
      <w:r w:rsidR="00731A53">
        <w:rPr>
          <w:rFonts w:ascii="Times New Roman" w:hAnsi="Times New Roman" w:cs="Times New Roman"/>
          <w:sz w:val="24"/>
        </w:rPr>
        <w:t>.</w:t>
      </w:r>
      <w:r w:rsidRPr="00D353AA">
        <w:rPr>
          <w:rFonts w:ascii="Times New Roman" w:hAnsi="Times New Roman" w:cs="Times New Roman"/>
          <w:sz w:val="24"/>
        </w:rPr>
        <w:t xml:space="preserve"> Aves do Monumento Natural das Ilhas </w:t>
      </w:r>
      <w:proofErr w:type="spellStart"/>
      <w:r w:rsidRPr="00D353AA">
        <w:rPr>
          <w:rFonts w:ascii="Times New Roman" w:hAnsi="Times New Roman" w:cs="Times New Roman"/>
          <w:sz w:val="24"/>
        </w:rPr>
        <w:t>Cagarras</w:t>
      </w:r>
      <w:proofErr w:type="spellEnd"/>
      <w:r w:rsidRPr="00D353AA">
        <w:rPr>
          <w:rFonts w:ascii="Times New Roman" w:hAnsi="Times New Roman" w:cs="Times New Roman"/>
          <w:sz w:val="24"/>
        </w:rPr>
        <w:t xml:space="preserve">. </w:t>
      </w:r>
      <w:r w:rsidR="00731A53">
        <w:rPr>
          <w:rFonts w:ascii="Times New Roman" w:hAnsi="Times New Roman" w:cs="Times New Roman"/>
          <w:sz w:val="24"/>
        </w:rPr>
        <w:t xml:space="preserve">In </w:t>
      </w:r>
      <w:r w:rsidR="00731A53" w:rsidRPr="00D353AA">
        <w:rPr>
          <w:rFonts w:ascii="Times New Roman" w:hAnsi="Times New Roman" w:cs="Times New Roman"/>
          <w:sz w:val="24"/>
        </w:rPr>
        <w:t xml:space="preserve">F. Moraes, A. </w:t>
      </w:r>
      <w:proofErr w:type="spellStart"/>
      <w:r w:rsidR="00731A53" w:rsidRPr="00D353AA">
        <w:rPr>
          <w:rFonts w:ascii="Times New Roman" w:hAnsi="Times New Roman" w:cs="Times New Roman"/>
          <w:sz w:val="24"/>
        </w:rPr>
        <w:t>Bertoncini</w:t>
      </w:r>
      <w:proofErr w:type="spellEnd"/>
      <w:r w:rsidR="00731A53">
        <w:rPr>
          <w:rFonts w:ascii="Times New Roman" w:hAnsi="Times New Roman" w:cs="Times New Roman"/>
          <w:sz w:val="24"/>
        </w:rPr>
        <w:t>,</w:t>
      </w:r>
      <w:r w:rsidR="00731A53" w:rsidRPr="00D353AA">
        <w:rPr>
          <w:rFonts w:ascii="Times New Roman" w:hAnsi="Times New Roman" w:cs="Times New Roman"/>
          <w:sz w:val="24"/>
        </w:rPr>
        <w:t xml:space="preserve"> &amp; A. Aguiar</w:t>
      </w:r>
      <w:r w:rsidR="00731A53">
        <w:rPr>
          <w:rFonts w:ascii="Times New Roman" w:hAnsi="Times New Roman" w:cs="Times New Roman"/>
          <w:sz w:val="24"/>
        </w:rPr>
        <w:t xml:space="preserve"> (Eds.</w:t>
      </w:r>
      <w:r w:rsidR="00731A53" w:rsidRPr="00D353AA">
        <w:rPr>
          <w:rFonts w:ascii="Times New Roman" w:hAnsi="Times New Roman" w:cs="Times New Roman"/>
          <w:sz w:val="24"/>
        </w:rPr>
        <w:t xml:space="preserve">), </w:t>
      </w:r>
      <w:r w:rsidRPr="00D353AA">
        <w:rPr>
          <w:rFonts w:ascii="Times New Roman" w:hAnsi="Times New Roman" w:cs="Times New Roman"/>
          <w:i/>
          <w:sz w:val="24"/>
        </w:rPr>
        <w:t xml:space="preserve">História, pesquisa e biodiversidade do Monumento Natural das Ilhas </w:t>
      </w:r>
      <w:proofErr w:type="spellStart"/>
      <w:r w:rsidRPr="00D353AA">
        <w:rPr>
          <w:rFonts w:ascii="Times New Roman" w:hAnsi="Times New Roman" w:cs="Times New Roman"/>
          <w:i/>
          <w:sz w:val="24"/>
        </w:rPr>
        <w:t>Cagarras</w:t>
      </w:r>
      <w:proofErr w:type="spellEnd"/>
      <w:r w:rsidRPr="00D353AA">
        <w:rPr>
          <w:rFonts w:ascii="Times New Roman" w:hAnsi="Times New Roman" w:cs="Times New Roman"/>
          <w:sz w:val="24"/>
        </w:rPr>
        <w:t xml:space="preserve"> </w:t>
      </w:r>
      <w:r w:rsidR="00731A53">
        <w:rPr>
          <w:rFonts w:ascii="Times New Roman" w:hAnsi="Times New Roman" w:cs="Times New Roman"/>
          <w:sz w:val="24"/>
        </w:rPr>
        <w:t xml:space="preserve"> (</w:t>
      </w:r>
      <w:r w:rsidRPr="00D353AA">
        <w:rPr>
          <w:rFonts w:ascii="Times New Roman" w:hAnsi="Times New Roman" w:cs="Times New Roman"/>
          <w:sz w:val="24"/>
        </w:rPr>
        <w:t>pp. 176</w:t>
      </w:r>
      <w:r w:rsidR="000672B3" w:rsidRPr="0035214C">
        <w:rPr>
          <w:rFonts w:ascii="Times New Roman" w:hAnsi="Times New Roman" w:cs="Times New Roman"/>
          <w:sz w:val="24"/>
        </w:rPr>
        <w:t>–</w:t>
      </w:r>
      <w:r w:rsidRPr="00D353AA">
        <w:rPr>
          <w:rFonts w:ascii="Times New Roman" w:hAnsi="Times New Roman" w:cs="Times New Roman"/>
          <w:sz w:val="24"/>
        </w:rPr>
        <w:t>205</w:t>
      </w:r>
      <w:r w:rsidR="00731A53">
        <w:rPr>
          <w:rFonts w:ascii="Times New Roman" w:hAnsi="Times New Roman" w:cs="Times New Roman"/>
          <w:sz w:val="24"/>
        </w:rPr>
        <w:t>)</w:t>
      </w:r>
      <w:r w:rsidRPr="00D353AA">
        <w:rPr>
          <w:rFonts w:ascii="Times New Roman" w:hAnsi="Times New Roman" w:cs="Times New Roman"/>
          <w:sz w:val="24"/>
        </w:rPr>
        <w:t xml:space="preserve">. </w:t>
      </w:r>
      <w:r w:rsidR="00731A53" w:rsidRPr="0035214C">
        <w:rPr>
          <w:rFonts w:ascii="Times New Roman" w:hAnsi="Times New Roman" w:cs="Times New Roman"/>
          <w:sz w:val="24"/>
        </w:rPr>
        <w:t>Rio de Janeiro</w:t>
      </w:r>
      <w:r w:rsidR="00731A53">
        <w:rPr>
          <w:rFonts w:ascii="Times New Roman" w:hAnsi="Times New Roman" w:cs="Times New Roman"/>
          <w:sz w:val="24"/>
        </w:rPr>
        <w:t>:</w:t>
      </w:r>
      <w:r w:rsidR="00731A53" w:rsidRPr="0035214C">
        <w:rPr>
          <w:rFonts w:ascii="Times New Roman" w:hAnsi="Times New Roman" w:cs="Times New Roman"/>
          <w:sz w:val="24"/>
        </w:rPr>
        <w:t xml:space="preserve"> </w:t>
      </w:r>
      <w:r w:rsidRPr="0035214C">
        <w:rPr>
          <w:rFonts w:ascii="Times New Roman" w:hAnsi="Times New Roman" w:cs="Times New Roman"/>
          <w:sz w:val="24"/>
        </w:rPr>
        <w:t>Museu Nacional.</w:t>
      </w:r>
    </w:p>
    <w:p w:rsidR="000B0E03" w:rsidRPr="00D353AA" w:rsidRDefault="000B0E03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 w:rsidRPr="00D353AA">
        <w:rPr>
          <w:rFonts w:ascii="Times New Roman" w:hAnsi="Times New Roman" w:cs="Times New Roman"/>
          <w:sz w:val="24"/>
          <w:lang w:val="en-US"/>
        </w:rPr>
        <w:t>Mancini, P.</w:t>
      </w:r>
      <w:r w:rsidR="00731A53"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>L., Hobson, K.</w:t>
      </w:r>
      <w:r w:rsidR="00731A53"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A. &amp;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Bugoni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>, L. (2014)</w:t>
      </w:r>
      <w:r w:rsidR="00731A53">
        <w:rPr>
          <w:rFonts w:ascii="Times New Roman" w:hAnsi="Times New Roman" w:cs="Times New Roman"/>
          <w:sz w:val="24"/>
          <w:lang w:val="en-US"/>
        </w:rPr>
        <w:t>.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Role of body size in shaping the trophic structure of tropical seabird communities. </w:t>
      </w:r>
      <w:r w:rsidRPr="00D353AA">
        <w:rPr>
          <w:rFonts w:ascii="Times New Roman" w:hAnsi="Times New Roman" w:cs="Times New Roman"/>
          <w:i/>
          <w:sz w:val="24"/>
          <w:lang w:val="en-US"/>
        </w:rPr>
        <w:t>Marine Ecology Progress Series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, </w:t>
      </w:r>
      <w:r w:rsidRPr="00F003A0">
        <w:rPr>
          <w:rFonts w:ascii="Times New Roman" w:hAnsi="Times New Roman" w:cs="Times New Roman"/>
          <w:sz w:val="24"/>
          <w:lang w:val="en-US"/>
        </w:rPr>
        <w:t>497</w:t>
      </w:r>
      <w:r w:rsidRPr="00D353AA">
        <w:rPr>
          <w:rFonts w:ascii="Times New Roman" w:hAnsi="Times New Roman" w:cs="Times New Roman"/>
          <w:sz w:val="24"/>
          <w:lang w:val="en-US"/>
        </w:rPr>
        <w:t>, 243–257.</w:t>
      </w:r>
    </w:p>
    <w:p w:rsidR="000B0E03" w:rsidRDefault="000B0E03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 w:rsidRPr="00F003A0">
        <w:rPr>
          <w:rFonts w:ascii="Times New Roman" w:hAnsi="Times New Roman" w:cs="Times New Roman"/>
          <w:sz w:val="24"/>
          <w:lang w:val="en-US"/>
        </w:rPr>
        <w:t>Mancini, P.</w:t>
      </w:r>
      <w:r w:rsidR="00731A53" w:rsidRPr="00F003A0">
        <w:rPr>
          <w:rFonts w:ascii="Times New Roman" w:hAnsi="Times New Roman" w:cs="Times New Roman"/>
          <w:sz w:val="24"/>
          <w:lang w:val="en-US"/>
        </w:rPr>
        <w:t xml:space="preserve"> </w:t>
      </w:r>
      <w:r w:rsidRPr="00F003A0">
        <w:rPr>
          <w:rFonts w:ascii="Times New Roman" w:hAnsi="Times New Roman" w:cs="Times New Roman"/>
          <w:sz w:val="24"/>
          <w:lang w:val="en-US"/>
        </w:rPr>
        <w:t xml:space="preserve">L., </w:t>
      </w:r>
      <w:proofErr w:type="spellStart"/>
      <w:r w:rsidRPr="00F003A0">
        <w:rPr>
          <w:rFonts w:ascii="Times New Roman" w:hAnsi="Times New Roman" w:cs="Times New Roman"/>
          <w:sz w:val="24"/>
          <w:lang w:val="en-US"/>
        </w:rPr>
        <w:t>Serafini</w:t>
      </w:r>
      <w:proofErr w:type="spellEnd"/>
      <w:r w:rsidRPr="00F003A0">
        <w:rPr>
          <w:rFonts w:ascii="Times New Roman" w:hAnsi="Times New Roman" w:cs="Times New Roman"/>
          <w:sz w:val="24"/>
          <w:lang w:val="en-US"/>
        </w:rPr>
        <w:t>, P.</w:t>
      </w:r>
      <w:r w:rsidR="00731A53" w:rsidRPr="00F003A0">
        <w:rPr>
          <w:rFonts w:ascii="Times New Roman" w:hAnsi="Times New Roman" w:cs="Times New Roman"/>
          <w:sz w:val="24"/>
          <w:lang w:val="en-US"/>
        </w:rPr>
        <w:t xml:space="preserve"> </w:t>
      </w:r>
      <w:r w:rsidRPr="00F003A0">
        <w:rPr>
          <w:rFonts w:ascii="Times New Roman" w:hAnsi="Times New Roman" w:cs="Times New Roman"/>
          <w:sz w:val="24"/>
          <w:lang w:val="en-US"/>
        </w:rPr>
        <w:t xml:space="preserve">P. &amp; </w:t>
      </w:r>
      <w:proofErr w:type="spellStart"/>
      <w:r w:rsidRPr="00F003A0">
        <w:rPr>
          <w:rFonts w:ascii="Times New Roman" w:hAnsi="Times New Roman" w:cs="Times New Roman"/>
          <w:sz w:val="24"/>
          <w:lang w:val="en-US"/>
        </w:rPr>
        <w:t>Bugoni</w:t>
      </w:r>
      <w:proofErr w:type="spellEnd"/>
      <w:r w:rsidRPr="00F003A0">
        <w:rPr>
          <w:rFonts w:ascii="Times New Roman" w:hAnsi="Times New Roman" w:cs="Times New Roman"/>
          <w:sz w:val="24"/>
          <w:lang w:val="en-US"/>
        </w:rPr>
        <w:t>, L. (2016)</w:t>
      </w:r>
      <w:r w:rsidR="00731A53" w:rsidRPr="00F003A0">
        <w:rPr>
          <w:rFonts w:ascii="Times New Roman" w:hAnsi="Times New Roman" w:cs="Times New Roman"/>
          <w:sz w:val="24"/>
          <w:lang w:val="en-US"/>
        </w:rPr>
        <w:t>.</w:t>
      </w:r>
      <w:r w:rsidRPr="00F003A0"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Breeding seabird populations in Brazilian oceanic islands: historical review, update and a call for census standardization.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Revista</w:t>
      </w:r>
      <w:proofErr w:type="spellEnd"/>
      <w:r w:rsidRPr="00D353A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Brasileira</w:t>
      </w:r>
      <w:proofErr w:type="spellEnd"/>
      <w:r w:rsidRPr="00D353AA">
        <w:rPr>
          <w:rFonts w:ascii="Times New Roman" w:hAnsi="Times New Roman" w:cs="Times New Roman"/>
          <w:i/>
          <w:sz w:val="24"/>
          <w:lang w:val="en-US"/>
        </w:rPr>
        <w:t xml:space="preserve"> de </w:t>
      </w:r>
      <w:proofErr w:type="spellStart"/>
      <w:r w:rsidRPr="00D353AA">
        <w:rPr>
          <w:rFonts w:ascii="Times New Roman" w:hAnsi="Times New Roman" w:cs="Times New Roman"/>
          <w:i/>
          <w:sz w:val="24"/>
          <w:lang w:val="en-US"/>
        </w:rPr>
        <w:t>Ornitologia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, </w:t>
      </w:r>
      <w:r w:rsidRPr="00F003A0">
        <w:rPr>
          <w:rFonts w:ascii="Times New Roman" w:hAnsi="Times New Roman" w:cs="Times New Roman"/>
          <w:sz w:val="24"/>
          <w:lang w:val="en-US"/>
        </w:rPr>
        <w:t>24</w:t>
      </w:r>
      <w:r w:rsidRPr="00D353AA">
        <w:rPr>
          <w:rFonts w:ascii="Times New Roman" w:hAnsi="Times New Roman" w:cs="Times New Roman"/>
          <w:sz w:val="24"/>
          <w:lang w:val="en-US"/>
        </w:rPr>
        <w:t>, 94</w:t>
      </w:r>
      <w:r w:rsidR="000672B3" w:rsidRPr="00D353AA">
        <w:rPr>
          <w:rFonts w:ascii="Times New Roman" w:hAnsi="Times New Roman" w:cs="Times New Roman"/>
          <w:sz w:val="24"/>
          <w:lang w:val="en-US"/>
        </w:rPr>
        <w:t>–</w:t>
      </w:r>
      <w:r w:rsidRPr="00D353AA">
        <w:rPr>
          <w:rFonts w:ascii="Times New Roman" w:hAnsi="Times New Roman" w:cs="Times New Roman"/>
          <w:sz w:val="24"/>
          <w:lang w:val="en-US"/>
        </w:rPr>
        <w:t>115.</w:t>
      </w:r>
    </w:p>
    <w:p w:rsidR="008B24DD" w:rsidRDefault="008B24DD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</w:p>
    <w:p w:rsidR="008B24DD" w:rsidRDefault="008B24DD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</w:p>
    <w:p w:rsidR="008B24DD" w:rsidRDefault="008B24DD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</w:p>
    <w:p w:rsidR="008B24DD" w:rsidRDefault="008B24DD" w:rsidP="000B0E0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  <w:sectPr w:rsidR="008B24DD" w:rsidSect="008B24DD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B24DD" w:rsidRDefault="008B24DD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APPENDIX S2 </w:t>
      </w:r>
      <w:r>
        <w:rPr>
          <w:rFonts w:ascii="Times New Roman" w:hAnsi="Times New Roman" w:cs="Times New Roman"/>
          <w:sz w:val="24"/>
          <w:lang w:val="en-US"/>
        </w:rPr>
        <w:t>Outputs of statistical analyses</w:t>
      </w:r>
    </w:p>
    <w:p w:rsidR="000B0E03" w:rsidRPr="0035214C" w:rsidRDefault="0018020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</w:t>
      </w:r>
      <w:r w:rsidR="000B0E0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2.1</w:t>
      </w:r>
      <w:r w:rsidR="000B0E03" w:rsidRPr="00D353A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B0E03" w:rsidRPr="00D353AA">
        <w:rPr>
          <w:rFonts w:ascii="Times New Roman" w:hAnsi="Times New Roman" w:cs="Times New Roman"/>
          <w:sz w:val="24"/>
          <w:lang w:val="en-US"/>
        </w:rPr>
        <w:t>Genetic diversity based on nine microsatellite loci for</w:t>
      </w:r>
      <w:r w:rsidR="008555BF">
        <w:rPr>
          <w:rFonts w:ascii="Times New Roman" w:hAnsi="Times New Roman" w:cs="Times New Roman"/>
          <w:sz w:val="24"/>
          <w:lang w:val="en-US"/>
        </w:rPr>
        <w:t xml:space="preserve"> six colonies of brown boobies, </w:t>
      </w:r>
      <w:r w:rsidR="000B0E03" w:rsidRPr="00D353AA">
        <w:rPr>
          <w:rFonts w:ascii="Times New Roman" w:hAnsi="Times New Roman" w:cs="Times New Roman"/>
          <w:i/>
          <w:sz w:val="24"/>
          <w:lang w:val="en-US"/>
        </w:rPr>
        <w:t xml:space="preserve">Sula </w:t>
      </w:r>
      <w:proofErr w:type="spellStart"/>
      <w:r w:rsidR="000B0E03" w:rsidRPr="00D353AA">
        <w:rPr>
          <w:rFonts w:ascii="Times New Roman" w:hAnsi="Times New Roman" w:cs="Times New Roman"/>
          <w:i/>
          <w:sz w:val="24"/>
          <w:lang w:val="en-US"/>
        </w:rPr>
        <w:t>leucogaster</w:t>
      </w:r>
      <w:proofErr w:type="spellEnd"/>
      <w:r w:rsidR="008555BF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distributed in the southwest Atlantic Ocean. H</w:t>
      </w:r>
      <w:r w:rsidR="000B0E03" w:rsidRPr="00D353AA">
        <w:rPr>
          <w:rFonts w:ascii="Times New Roman" w:hAnsi="Times New Roman" w:cs="Times New Roman"/>
          <w:sz w:val="24"/>
          <w:vertAlign w:val="subscript"/>
          <w:lang w:val="en-US"/>
        </w:rPr>
        <w:t>O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= observed heterozygosity; H</w:t>
      </w:r>
      <w:r w:rsidR="000B0E03" w:rsidRPr="00D353AA">
        <w:rPr>
          <w:rFonts w:ascii="Times New Roman" w:hAnsi="Times New Roman" w:cs="Times New Roman"/>
          <w:sz w:val="24"/>
          <w:vertAlign w:val="subscript"/>
          <w:lang w:val="en-US"/>
        </w:rPr>
        <w:t>E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= expected heterozygosity from Hardy-Weinberg proportions (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Nei</w:t>
      </w:r>
      <w:proofErr w:type="spellEnd"/>
      <w:r w:rsidR="005E384A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1978); </w:t>
      </w:r>
      <w:r w:rsidR="000B0E03" w:rsidRPr="008555BF">
        <w:rPr>
          <w:rFonts w:ascii="Times New Roman" w:hAnsi="Times New Roman" w:cs="Times New Roman"/>
          <w:i/>
          <w:sz w:val="24"/>
          <w:lang w:val="en-US"/>
        </w:rPr>
        <w:t>F</w:t>
      </w:r>
      <w:r w:rsidR="000B0E03" w:rsidRPr="008555BF">
        <w:rPr>
          <w:rFonts w:ascii="Times New Roman" w:hAnsi="Times New Roman" w:cs="Times New Roman"/>
          <w:i/>
          <w:sz w:val="24"/>
          <w:vertAlign w:val="subscript"/>
          <w:lang w:val="en-US"/>
        </w:rPr>
        <w:t>IS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= inbreeding coefficient (Weir</w:t>
      </w:r>
      <w:r w:rsidR="00081675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081675">
        <w:rPr>
          <w:rFonts w:ascii="Times New Roman" w:hAnsi="Times New Roman" w:cs="Times New Roman"/>
          <w:sz w:val="24"/>
          <w:lang w:val="en-US"/>
        </w:rPr>
        <w:t>&amp;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Cockerham</w:t>
      </w:r>
      <w:proofErr w:type="spellEnd"/>
      <w:r w:rsidR="005E384A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1984); and A = </w:t>
      </w:r>
      <w:r w:rsidR="005A09E8">
        <w:rPr>
          <w:rFonts w:ascii="Times New Roman" w:hAnsi="Times New Roman" w:cs="Times New Roman"/>
          <w:sz w:val="24"/>
          <w:lang w:val="en-US"/>
        </w:rPr>
        <w:t>number of alleles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. </w:t>
      </w:r>
      <w:r w:rsidR="000B0E03" w:rsidRPr="0035214C">
        <w:rPr>
          <w:rFonts w:ascii="Times New Roman" w:hAnsi="Times New Roman" w:cs="Times New Roman"/>
          <w:sz w:val="24"/>
        </w:rPr>
        <w:t xml:space="preserve">SPSP = Saint Peter </w:t>
      </w:r>
      <w:proofErr w:type="spellStart"/>
      <w:r w:rsidR="000B0E03" w:rsidRPr="0035214C">
        <w:rPr>
          <w:rFonts w:ascii="Times New Roman" w:hAnsi="Times New Roman" w:cs="Times New Roman"/>
          <w:sz w:val="24"/>
        </w:rPr>
        <w:t>and</w:t>
      </w:r>
      <w:proofErr w:type="spellEnd"/>
      <w:r w:rsidR="000B0E03" w:rsidRPr="0035214C">
        <w:rPr>
          <w:rFonts w:ascii="Times New Roman" w:hAnsi="Times New Roman" w:cs="Times New Roman"/>
          <w:sz w:val="24"/>
        </w:rPr>
        <w:t xml:space="preserve"> Saint Paul</w:t>
      </w:r>
      <w:r w:rsidR="005E384A" w:rsidRPr="003521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84A" w:rsidRPr="0035214C">
        <w:rPr>
          <w:rFonts w:ascii="Times New Roman" w:hAnsi="Times New Roman" w:cs="Times New Roman"/>
          <w:sz w:val="24"/>
        </w:rPr>
        <w:t>Archipelago</w:t>
      </w:r>
      <w:proofErr w:type="spellEnd"/>
      <w:r w:rsidR="000B0E03" w:rsidRPr="0035214C">
        <w:rPr>
          <w:rFonts w:ascii="Times New Roman" w:hAnsi="Times New Roman" w:cs="Times New Roman"/>
          <w:sz w:val="24"/>
        </w:rPr>
        <w:t xml:space="preserve">; FN = Fernando de Noronha; Rocas = Rocas </w:t>
      </w:r>
      <w:proofErr w:type="spellStart"/>
      <w:r w:rsidR="000B0E03" w:rsidRPr="0035214C">
        <w:rPr>
          <w:rFonts w:ascii="Times New Roman" w:hAnsi="Times New Roman" w:cs="Times New Roman"/>
          <w:sz w:val="24"/>
        </w:rPr>
        <w:t>Atoll</w:t>
      </w:r>
      <w:proofErr w:type="spellEnd"/>
      <w:r w:rsidR="000B0E03" w:rsidRPr="0035214C">
        <w:rPr>
          <w:rFonts w:ascii="Times New Roman" w:hAnsi="Times New Roman" w:cs="Times New Roman"/>
          <w:sz w:val="24"/>
        </w:rPr>
        <w:t xml:space="preserve">; Moleques = Moleques do Sul. </w:t>
      </w:r>
      <w:r w:rsidR="000B0E03" w:rsidRPr="0035214C">
        <w:rPr>
          <w:rFonts w:ascii="Times New Roman" w:hAnsi="Times New Roman" w:cs="Times New Roman"/>
          <w:sz w:val="24"/>
          <w:lang w:val="en-US"/>
        </w:rPr>
        <w:t xml:space="preserve">Bold values were deviated from Hardy-Weinberg equilibrium </w:t>
      </w:r>
    </w:p>
    <w:tbl>
      <w:tblPr>
        <w:tblW w:w="1612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60"/>
        <w:gridCol w:w="560"/>
        <w:gridCol w:w="560"/>
        <w:gridCol w:w="705"/>
        <w:gridCol w:w="440"/>
        <w:gridCol w:w="160"/>
        <w:gridCol w:w="560"/>
        <w:gridCol w:w="682"/>
        <w:gridCol w:w="709"/>
        <w:gridCol w:w="440"/>
        <w:gridCol w:w="160"/>
        <w:gridCol w:w="560"/>
        <w:gridCol w:w="560"/>
        <w:gridCol w:w="690"/>
        <w:gridCol w:w="440"/>
        <w:gridCol w:w="160"/>
        <w:gridCol w:w="560"/>
        <w:gridCol w:w="560"/>
        <w:gridCol w:w="690"/>
        <w:gridCol w:w="567"/>
        <w:gridCol w:w="160"/>
        <w:gridCol w:w="560"/>
        <w:gridCol w:w="560"/>
        <w:gridCol w:w="704"/>
        <w:gridCol w:w="549"/>
        <w:gridCol w:w="160"/>
        <w:gridCol w:w="560"/>
        <w:gridCol w:w="560"/>
        <w:gridCol w:w="690"/>
        <w:gridCol w:w="567"/>
      </w:tblGrid>
      <w:tr w:rsidR="000B0E03" w:rsidRPr="00D353AA" w:rsidTr="0008167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Loci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SPSP (♀=12; ♂=12)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FN (♀=8; ♂=11)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Rocas (♀=11</w:t>
            </w:r>
            <w:r w:rsidR="000B0E03" w:rsidRPr="00D353AA">
              <w:rPr>
                <w:rFonts w:ascii="Times New Roman" w:hAnsi="Times New Roman" w:cs="Times New Roman"/>
                <w:sz w:val="24"/>
              </w:rPr>
              <w:t>; ♂=8)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Abrolhos (♀=11; ♂=9)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3AA">
              <w:rPr>
                <w:rFonts w:ascii="Times New Roman" w:hAnsi="Times New Roman" w:cs="Times New Roman"/>
                <w:sz w:val="24"/>
              </w:rPr>
              <w:t>Cagarras</w:t>
            </w:r>
            <w:proofErr w:type="spellEnd"/>
            <w:r w:rsidRPr="00D353AA">
              <w:rPr>
                <w:rFonts w:ascii="Times New Roman" w:hAnsi="Times New Roman" w:cs="Times New Roman"/>
                <w:sz w:val="24"/>
              </w:rPr>
              <w:t xml:space="preserve"> (♀=10; ♂=9)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Moleques (♀=9; ♂=9)</w:t>
            </w:r>
          </w:p>
        </w:tc>
      </w:tr>
      <w:tr w:rsidR="000B0E03" w:rsidRPr="00D353AA" w:rsidTr="00081675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H</w:t>
            </w:r>
            <w:r w:rsidRPr="00D353AA"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353AA"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D353AA">
              <w:rPr>
                <w:rFonts w:ascii="Times New Roman" w:hAnsi="Times New Roman" w:cs="Times New Roman"/>
                <w:i/>
                <w:sz w:val="24"/>
                <w:vertAlign w:val="subscript"/>
              </w:rPr>
              <w:t>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Sv2A-2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53AA">
              <w:rPr>
                <w:rFonts w:ascii="Times New Roman" w:hAnsi="Times New Roman" w:cs="Times New Roman"/>
                <w:b/>
                <w:bCs/>
                <w:sz w:val="24"/>
              </w:rPr>
              <w:t>0.74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Sv2A-26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Sn2A-123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Sn2B-83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Sv2A-95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Sv2A-47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Sn2B-100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Sv2B-138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343F4B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8555BF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53AA">
              <w:rPr>
                <w:rFonts w:ascii="Times New Roman" w:hAnsi="Times New Roman" w:cs="Times New Roman"/>
                <w:b/>
                <w:bCs/>
                <w:sz w:val="24"/>
              </w:rPr>
              <w:t>0.69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Sv2B-27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B0E03" w:rsidRPr="00D353AA" w:rsidTr="0008167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3AA">
              <w:rPr>
                <w:rFonts w:ascii="Times New Roman" w:hAnsi="Times New Roman" w:cs="Times New Roman"/>
                <w:sz w:val="24"/>
              </w:rPr>
              <w:t>Mean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E03" w:rsidRPr="00D353AA" w:rsidRDefault="000B0E03" w:rsidP="0008167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2.6</w:t>
            </w:r>
          </w:p>
        </w:tc>
      </w:tr>
    </w:tbl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  <w:sectPr w:rsidR="000B0E03" w:rsidRPr="00D353AA" w:rsidSect="008B24D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205" w:rsidRPr="00F72A68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80205">
        <w:rPr>
          <w:rFonts w:ascii="Times New Roman" w:hAnsi="Times New Roman" w:cs="Times New Roman"/>
          <w:b/>
          <w:sz w:val="24"/>
          <w:lang w:val="en-US"/>
        </w:rPr>
        <w:lastRenderedPageBreak/>
        <w:t>Table 2.2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35214C">
        <w:rPr>
          <w:rFonts w:ascii="Times New Roman" w:hAnsi="Times New Roman" w:cs="Times New Roman"/>
          <w:sz w:val="24"/>
          <w:lang w:val="en-US"/>
        </w:rPr>
        <w:t xml:space="preserve">Coefficients of determination </w:t>
      </w:r>
      <w:r w:rsidR="0035214C" w:rsidRPr="00D353AA">
        <w:rPr>
          <w:rFonts w:ascii="Times New Roman" w:hAnsi="Times New Roman" w:cs="Times New Roman"/>
          <w:sz w:val="24"/>
          <w:lang w:val="en-US"/>
        </w:rPr>
        <w:t>(</w:t>
      </w:r>
      <w:r w:rsidR="0035214C" w:rsidRPr="00D353AA">
        <w:rPr>
          <w:rFonts w:ascii="Times New Roman" w:hAnsi="Times New Roman" w:cs="Times New Roman"/>
          <w:i/>
          <w:sz w:val="24"/>
          <w:lang w:val="en-US"/>
        </w:rPr>
        <w:t>R</w:t>
      </w:r>
      <w:r w:rsidR="0035214C" w:rsidRPr="0035214C">
        <w:rPr>
          <w:rFonts w:ascii="Times New Roman" w:hAnsi="Times New Roman" w:cs="Times New Roman"/>
          <w:i/>
          <w:sz w:val="24"/>
          <w:vertAlign w:val="superscript"/>
          <w:lang w:val="en-US"/>
        </w:rPr>
        <w:t>2</w:t>
      </w:r>
      <w:r w:rsidR="0035214C" w:rsidRPr="00D353AA">
        <w:rPr>
          <w:rFonts w:ascii="Times New Roman" w:hAnsi="Times New Roman" w:cs="Times New Roman"/>
          <w:sz w:val="24"/>
          <w:lang w:val="en-US"/>
        </w:rPr>
        <w:t>)</w:t>
      </w:r>
      <w:r w:rsidR="0035214C">
        <w:rPr>
          <w:rFonts w:ascii="Times New Roman" w:hAnsi="Times New Roman" w:cs="Times New Roman"/>
          <w:sz w:val="24"/>
          <w:lang w:val="en-US"/>
        </w:rPr>
        <w:t xml:space="preserve"> based on pairwise Pearson's correlations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among environmental variables of six brown booby colonies along the </w:t>
      </w:r>
      <w:r w:rsidRPr="00D353AA">
        <w:rPr>
          <w:rFonts w:ascii="Times New Roman" w:hAnsi="Times New Roman" w:cs="Times New Roman"/>
          <w:sz w:val="24"/>
          <w:lang w:val="en-GB"/>
        </w:rPr>
        <w:t>southwestern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Atlantic Ocean.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Chl</w:t>
      </w:r>
      <w:proofErr w:type="spellEnd"/>
      <w:r w:rsidRPr="00D353AA">
        <w:rPr>
          <w:rFonts w:ascii="Times New Roman" w:hAnsi="Times New Roman" w:cs="Times New Roman"/>
          <w:sz w:val="24"/>
        </w:rPr>
        <w:t>α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= chlorophyll </w:t>
      </w:r>
      <w:r w:rsidRPr="00D353AA">
        <w:rPr>
          <w:rFonts w:ascii="Times New Roman" w:hAnsi="Times New Roman" w:cs="Times New Roman"/>
          <w:sz w:val="24"/>
        </w:rPr>
        <w:t>α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concentration; SST = sea surface temperature; AT = air temperature; Density = population density;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SEAc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= Bayesian ellipse areas estimated from isotopic data of carbon and nitrogen. </w:t>
      </w:r>
      <w:r w:rsidRPr="00F72A68">
        <w:rPr>
          <w:rFonts w:ascii="Times New Roman" w:hAnsi="Times New Roman" w:cs="Times New Roman"/>
          <w:sz w:val="24"/>
          <w:lang w:val="en-US"/>
        </w:rPr>
        <w:t xml:space="preserve">Bold values represent correlations with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Pr="00F72A68">
        <w:rPr>
          <w:rFonts w:ascii="Times New Roman" w:hAnsi="Times New Roman" w:cs="Times New Roman"/>
          <w:sz w:val="24"/>
          <w:lang w:val="en-US"/>
        </w:rPr>
        <w:t>-value &lt; .01.</w:t>
      </w:r>
    </w:p>
    <w:tbl>
      <w:tblPr>
        <w:tblW w:w="4982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D01424" w:rsidRPr="00D353AA" w:rsidTr="00F72A68">
        <w:trPr>
          <w:trHeight w:val="338"/>
        </w:trPr>
        <w:tc>
          <w:tcPr>
            <w:tcW w:w="1000" w:type="pct"/>
            <w:shd w:val="clear" w:color="000000" w:fill="BFBFBF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3AA">
              <w:rPr>
                <w:rFonts w:ascii="Times New Roman" w:hAnsi="Times New Roman" w:cs="Times New Roman"/>
                <w:sz w:val="24"/>
              </w:rPr>
              <w:t>Chl</w:t>
            </w:r>
            <w:proofErr w:type="spellEnd"/>
            <w:r w:rsidRPr="00D353AA"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24" w:rsidRPr="00D353AA" w:rsidTr="00F72A68">
        <w:trPr>
          <w:trHeight w:val="338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53AA">
              <w:rPr>
                <w:rFonts w:ascii="Times New Roman" w:hAnsi="Times New Roman" w:cs="Times New Roman"/>
                <w:b/>
                <w:bCs/>
                <w:sz w:val="24"/>
              </w:rPr>
              <w:t>0.903</w:t>
            </w:r>
          </w:p>
        </w:tc>
        <w:tc>
          <w:tcPr>
            <w:tcW w:w="1000" w:type="pct"/>
            <w:shd w:val="clear" w:color="000000" w:fill="BFBFBF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SST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24" w:rsidRPr="00D353AA" w:rsidTr="00F72A68">
        <w:trPr>
          <w:trHeight w:val="338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53AA">
              <w:rPr>
                <w:rFonts w:ascii="Times New Roman" w:hAnsi="Times New Roman" w:cs="Times New Roman"/>
                <w:b/>
                <w:bCs/>
                <w:sz w:val="24"/>
              </w:rPr>
              <w:t>0.865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53AA">
              <w:rPr>
                <w:rFonts w:ascii="Times New Roman" w:hAnsi="Times New Roman" w:cs="Times New Roman"/>
                <w:b/>
                <w:bCs/>
                <w:sz w:val="24"/>
              </w:rPr>
              <w:t>0.884</w:t>
            </w:r>
          </w:p>
        </w:tc>
        <w:tc>
          <w:tcPr>
            <w:tcW w:w="1000" w:type="pct"/>
            <w:shd w:val="clear" w:color="000000" w:fill="BFBFBF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24" w:rsidRPr="00D353AA" w:rsidTr="00F72A68">
        <w:trPr>
          <w:trHeight w:val="338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0.084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0.137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3AA">
              <w:rPr>
                <w:rFonts w:ascii="Times New Roman" w:hAnsi="Times New Roman" w:cs="Times New Roman"/>
                <w:sz w:val="24"/>
              </w:rPr>
              <w:t>0.152</w:t>
            </w:r>
          </w:p>
        </w:tc>
        <w:tc>
          <w:tcPr>
            <w:tcW w:w="1000" w:type="pct"/>
            <w:shd w:val="clear" w:color="000000" w:fill="BFBFBF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3AA">
              <w:rPr>
                <w:rFonts w:ascii="Times New Roman" w:hAnsi="Times New Roman" w:cs="Times New Roman"/>
                <w:sz w:val="24"/>
              </w:rPr>
              <w:t>Density</w:t>
            </w:r>
            <w:proofErr w:type="spellEnd"/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24" w:rsidRPr="00D353AA" w:rsidTr="00F72A68">
        <w:trPr>
          <w:trHeight w:val="338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0.029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0.084</w:t>
            </w:r>
          </w:p>
        </w:tc>
        <w:tc>
          <w:tcPr>
            <w:tcW w:w="1000" w:type="pct"/>
            <w:shd w:val="clear" w:color="000000" w:fill="BFBFBF"/>
            <w:noWrap/>
            <w:vAlign w:val="bottom"/>
            <w:hideMark/>
          </w:tcPr>
          <w:p w:rsidR="00D01424" w:rsidRPr="00D353AA" w:rsidRDefault="00D01424" w:rsidP="00F72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3AA">
              <w:rPr>
                <w:rFonts w:ascii="Times New Roman" w:hAnsi="Times New Roman" w:cs="Times New Roman"/>
                <w:sz w:val="24"/>
              </w:rPr>
              <w:t>SEAc</w:t>
            </w:r>
            <w:proofErr w:type="spellEnd"/>
          </w:p>
        </w:tc>
      </w:tr>
    </w:tbl>
    <w:p w:rsidR="00180205" w:rsidRPr="00D353A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D01424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80205" w:rsidRPr="004E6AE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2.3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35214C">
        <w:rPr>
          <w:rFonts w:ascii="Times New Roman" w:hAnsi="Times New Roman" w:cs="Times New Roman"/>
          <w:sz w:val="24"/>
          <w:lang w:val="en-US"/>
        </w:rPr>
        <w:t xml:space="preserve">Coefficients of determination </w:t>
      </w:r>
      <w:r w:rsidR="0035214C" w:rsidRPr="00D353AA">
        <w:rPr>
          <w:rFonts w:ascii="Times New Roman" w:hAnsi="Times New Roman" w:cs="Times New Roman"/>
          <w:sz w:val="24"/>
          <w:lang w:val="en-US"/>
        </w:rPr>
        <w:t>(</w:t>
      </w:r>
      <w:r w:rsidR="0035214C" w:rsidRPr="00D353AA">
        <w:rPr>
          <w:rFonts w:ascii="Times New Roman" w:hAnsi="Times New Roman" w:cs="Times New Roman"/>
          <w:i/>
          <w:sz w:val="24"/>
          <w:lang w:val="en-US"/>
        </w:rPr>
        <w:t>R</w:t>
      </w:r>
      <w:r w:rsidR="0035214C" w:rsidRPr="0035214C">
        <w:rPr>
          <w:rFonts w:ascii="Times New Roman" w:hAnsi="Times New Roman" w:cs="Times New Roman"/>
          <w:i/>
          <w:sz w:val="24"/>
          <w:vertAlign w:val="superscript"/>
          <w:lang w:val="en-US"/>
        </w:rPr>
        <w:t>2</w:t>
      </w:r>
      <w:r w:rsidR="0035214C" w:rsidRPr="00D353AA">
        <w:rPr>
          <w:rFonts w:ascii="Times New Roman" w:hAnsi="Times New Roman" w:cs="Times New Roman"/>
          <w:sz w:val="24"/>
          <w:lang w:val="en-US"/>
        </w:rPr>
        <w:t>)</w:t>
      </w:r>
      <w:r w:rsidR="0035214C">
        <w:rPr>
          <w:rFonts w:ascii="Times New Roman" w:hAnsi="Times New Roman" w:cs="Times New Roman"/>
          <w:sz w:val="24"/>
          <w:lang w:val="en-US"/>
        </w:rPr>
        <w:t xml:space="preserve"> based on pairwise Pearson's correlations</w:t>
      </w:r>
      <w:r w:rsidR="0035214C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between distance matrices calculated with Mantel tests. </w:t>
      </w:r>
      <w:r w:rsidR="004E6AEA">
        <w:rPr>
          <w:rFonts w:ascii="Times New Roman" w:hAnsi="Times New Roman" w:cs="Times New Roman"/>
          <w:sz w:val="24"/>
          <w:lang w:val="en-US"/>
        </w:rPr>
        <w:t xml:space="preserve">Genetic distances were calculated with linearized </w:t>
      </w:r>
      <w:r w:rsidR="004E6AEA" w:rsidRPr="004E6AEA">
        <w:rPr>
          <w:rFonts w:ascii="Times New Roman" w:hAnsi="Times New Roman" w:cs="Times New Roman"/>
          <w:i/>
          <w:sz w:val="24"/>
          <w:lang w:val="en-US"/>
        </w:rPr>
        <w:t>D</w:t>
      </w:r>
      <w:r w:rsidR="004E6AEA" w:rsidRPr="004E6AEA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 w:rsidR="004E6AEA" w:rsidRPr="00D353A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4E6AEA" w:rsidRPr="00D353AA">
        <w:rPr>
          <w:rFonts w:ascii="Times New Roman" w:hAnsi="Times New Roman" w:cs="Times New Roman"/>
          <w:sz w:val="24"/>
          <w:lang w:val="en-US"/>
        </w:rPr>
        <w:t>(</w:t>
      </w:r>
      <w:r w:rsidR="004E6AEA">
        <w:rPr>
          <w:rFonts w:ascii="Times New Roman" w:hAnsi="Times New Roman" w:cs="Times New Roman"/>
          <w:sz w:val="24"/>
          <w:lang w:val="en-US"/>
        </w:rPr>
        <w:t xml:space="preserve">Shriver </w:t>
      </w:r>
      <w:r w:rsidR="004E6AEA" w:rsidRPr="00F003A0">
        <w:rPr>
          <w:rFonts w:ascii="Times New Roman" w:hAnsi="Times New Roman" w:cs="Times New Roman"/>
          <w:sz w:val="24"/>
          <w:lang w:val="en-US"/>
        </w:rPr>
        <w:t>et al</w:t>
      </w:r>
      <w:r w:rsidR="004E6AEA" w:rsidRPr="00081675">
        <w:rPr>
          <w:rFonts w:ascii="Times New Roman" w:hAnsi="Times New Roman" w:cs="Times New Roman"/>
          <w:sz w:val="24"/>
          <w:lang w:val="en-US"/>
        </w:rPr>
        <w:t>.</w:t>
      </w:r>
      <w:r w:rsidR="004E6AEA">
        <w:rPr>
          <w:rFonts w:ascii="Times New Roman" w:hAnsi="Times New Roman" w:cs="Times New Roman"/>
          <w:sz w:val="24"/>
          <w:lang w:val="en-US"/>
        </w:rPr>
        <w:t>, 1995);</w:t>
      </w:r>
      <w:r w:rsidR="004E6AEA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E6AEA" w:rsidRPr="00D353AA">
        <w:rPr>
          <w:rFonts w:ascii="Times New Roman" w:hAnsi="Times New Roman" w:cs="Times New Roman"/>
          <w:sz w:val="24"/>
          <w:lang w:val="en-US"/>
        </w:rPr>
        <w:t>GeoDis</w:t>
      </w:r>
      <w:proofErr w:type="spellEnd"/>
      <w:r w:rsidR="004E6AEA" w:rsidRPr="00D353AA">
        <w:rPr>
          <w:rFonts w:ascii="Times New Roman" w:hAnsi="Times New Roman" w:cs="Times New Roman"/>
          <w:sz w:val="24"/>
          <w:lang w:val="en-US"/>
        </w:rPr>
        <w:t xml:space="preserve"> was calculated considering log-transformed geographical distances</w:t>
      </w:r>
      <w:r w:rsidR="004E6AEA">
        <w:rPr>
          <w:rFonts w:ascii="Times New Roman" w:hAnsi="Times New Roman" w:cs="Times New Roman"/>
          <w:sz w:val="24"/>
          <w:lang w:val="en-US"/>
        </w:rPr>
        <w:t>;</w:t>
      </w:r>
      <w:r w:rsidR="004E6AEA" w:rsidRPr="00D353AA">
        <w:rPr>
          <w:rFonts w:ascii="Times New Roman" w:hAnsi="Times New Roman" w:cs="Times New Roman"/>
          <w:sz w:val="24"/>
          <w:lang w:val="en-US"/>
        </w:rPr>
        <w:t xml:space="preserve"> and distance matrices for the remaining variables were calculated with the </w:t>
      </w:r>
      <w:proofErr w:type="spellStart"/>
      <w:r w:rsidR="004E6AEA" w:rsidRPr="00D353AA">
        <w:rPr>
          <w:rFonts w:ascii="Times New Roman" w:hAnsi="Times New Roman" w:cs="Times New Roman"/>
          <w:sz w:val="24"/>
          <w:lang w:val="en-US"/>
        </w:rPr>
        <w:t>Mahalanobis</w:t>
      </w:r>
      <w:proofErr w:type="spellEnd"/>
      <w:r w:rsidR="004E6AEA" w:rsidRPr="00D353AA">
        <w:rPr>
          <w:rFonts w:ascii="Times New Roman" w:hAnsi="Times New Roman" w:cs="Times New Roman"/>
          <w:sz w:val="24"/>
          <w:lang w:val="en-US"/>
        </w:rPr>
        <w:t xml:space="preserve"> dissimilarity index. </w:t>
      </w:r>
      <w:r w:rsidR="00872602" w:rsidRPr="00872602">
        <w:rPr>
          <w:rFonts w:ascii="Times New Roman" w:hAnsi="Times New Roman" w:cs="Times New Roman"/>
          <w:i/>
          <w:sz w:val="24"/>
          <w:lang w:val="en-US"/>
        </w:rPr>
        <w:t>D</w:t>
      </w:r>
      <w:r w:rsidR="00872602" w:rsidRPr="00872602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 = </w:t>
      </w:r>
      <w:r w:rsidR="00872602">
        <w:rPr>
          <w:rFonts w:ascii="Times New Roman" w:hAnsi="Times New Roman" w:cs="Times New Roman"/>
          <w:sz w:val="24"/>
          <w:lang w:val="en-US"/>
        </w:rPr>
        <w:t xml:space="preserve">between-population 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genetic </w:t>
      </w:r>
      <w:r w:rsidR="00872602">
        <w:rPr>
          <w:rFonts w:ascii="Times New Roman" w:hAnsi="Times New Roman" w:cs="Times New Roman"/>
          <w:sz w:val="24"/>
          <w:lang w:val="en-US"/>
        </w:rPr>
        <w:t>distance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; </w:t>
      </w:r>
      <w:r w:rsidR="00872602" w:rsidRPr="00872602">
        <w:rPr>
          <w:rFonts w:ascii="Times New Roman" w:hAnsi="Times New Roman" w:cs="Times New Roman"/>
          <w:i/>
          <w:sz w:val="24"/>
          <w:lang w:val="en-US"/>
        </w:rPr>
        <w:t>D</w:t>
      </w:r>
      <w:r w:rsidR="00872602" w:rsidRPr="00872602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 w:rsidR="00872602">
        <w:rPr>
          <w:rFonts w:ascii="Times New Roman" w:hAnsi="Times New Roman" w:cs="Times New Roman"/>
          <w:sz w:val="24"/>
          <w:lang w:val="en-US"/>
        </w:rPr>
        <w:t xml:space="preserve"> w/o SPSP = between-population genetic distance in a scenario without Sain</w:t>
      </w:r>
      <w:r w:rsidR="000672B3">
        <w:rPr>
          <w:rFonts w:ascii="Times New Roman" w:hAnsi="Times New Roman" w:cs="Times New Roman"/>
          <w:sz w:val="24"/>
          <w:lang w:val="en-US"/>
        </w:rPr>
        <w:t>t</w:t>
      </w:r>
      <w:r w:rsidR="00872602">
        <w:rPr>
          <w:rFonts w:ascii="Times New Roman" w:hAnsi="Times New Roman" w:cs="Times New Roman"/>
          <w:sz w:val="24"/>
          <w:lang w:val="en-US"/>
        </w:rPr>
        <w:t xml:space="preserve"> Peter and Sain</w:t>
      </w:r>
      <w:r w:rsidR="000672B3">
        <w:rPr>
          <w:rFonts w:ascii="Times New Roman" w:hAnsi="Times New Roman" w:cs="Times New Roman"/>
          <w:sz w:val="24"/>
          <w:lang w:val="en-US"/>
        </w:rPr>
        <w:t>t</w:t>
      </w:r>
      <w:r w:rsidR="00872602">
        <w:rPr>
          <w:rFonts w:ascii="Times New Roman" w:hAnsi="Times New Roman" w:cs="Times New Roman"/>
          <w:sz w:val="24"/>
          <w:lang w:val="en-US"/>
        </w:rPr>
        <w:t xml:space="preserve"> Paul Archipelago;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GeoDis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= geographical distances between archipelagos;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Chl</w:t>
      </w:r>
      <w:proofErr w:type="spellEnd"/>
      <w:r w:rsidRPr="00D353AA">
        <w:rPr>
          <w:rFonts w:ascii="Times New Roman" w:hAnsi="Times New Roman" w:cs="Times New Roman"/>
          <w:sz w:val="24"/>
          <w:lang w:val="en-GB"/>
        </w:rPr>
        <w:t>α = chlorophyll α concentration; SST = sea surface te</w:t>
      </w:r>
      <w:r w:rsidR="00816C5F">
        <w:rPr>
          <w:rFonts w:ascii="Times New Roman" w:hAnsi="Times New Roman" w:cs="Times New Roman"/>
          <w:sz w:val="24"/>
          <w:lang w:val="en-GB"/>
        </w:rPr>
        <w:t>mperature; AT = air temperature</w:t>
      </w:r>
      <w:r w:rsidRPr="00D353AA">
        <w:rPr>
          <w:rFonts w:ascii="Times New Roman" w:hAnsi="Times New Roman" w:cs="Times New Roman"/>
          <w:sz w:val="24"/>
          <w:lang w:val="en-US"/>
        </w:rPr>
        <w:t xml:space="preserve">; Density = population density; </w:t>
      </w:r>
      <w:proofErr w:type="spellStart"/>
      <w:r w:rsidRPr="00D353AA">
        <w:rPr>
          <w:rFonts w:ascii="Times New Roman" w:hAnsi="Times New Roman" w:cs="Times New Roman"/>
          <w:sz w:val="24"/>
          <w:lang w:val="en-US"/>
        </w:rPr>
        <w:t>SEAc</w:t>
      </w:r>
      <w:proofErr w:type="spellEnd"/>
      <w:r w:rsidRPr="00D353AA">
        <w:rPr>
          <w:rFonts w:ascii="Times New Roman" w:hAnsi="Times New Roman" w:cs="Times New Roman"/>
          <w:sz w:val="24"/>
          <w:lang w:val="en-US"/>
        </w:rPr>
        <w:t xml:space="preserve"> = Bayesian ellipses area based on carbon and nitrogen isotopic ratios. </w:t>
      </w:r>
      <w:r w:rsidR="004E6AEA">
        <w:rPr>
          <w:rFonts w:ascii="Times New Roman" w:hAnsi="Times New Roman" w:cs="Times New Roman"/>
          <w:sz w:val="24"/>
          <w:lang w:val="en-US"/>
        </w:rPr>
        <w:t>Correspondence between matrices of environmental (</w:t>
      </w:r>
      <w:proofErr w:type="spellStart"/>
      <w:r w:rsidR="004E6AEA">
        <w:rPr>
          <w:rFonts w:ascii="Times New Roman" w:hAnsi="Times New Roman" w:cs="Times New Roman"/>
          <w:sz w:val="24"/>
          <w:lang w:val="en-US"/>
        </w:rPr>
        <w:t>Chl</w:t>
      </w:r>
      <w:proofErr w:type="spellEnd"/>
      <w:r w:rsidR="004E6AEA" w:rsidRPr="00D353AA">
        <w:rPr>
          <w:rFonts w:ascii="Times New Roman" w:hAnsi="Times New Roman" w:cs="Times New Roman"/>
          <w:sz w:val="24"/>
          <w:lang w:val="en-GB"/>
        </w:rPr>
        <w:t>α</w:t>
      </w:r>
      <w:r w:rsidR="004E6AEA">
        <w:rPr>
          <w:rFonts w:ascii="Times New Roman" w:hAnsi="Times New Roman" w:cs="Times New Roman"/>
          <w:sz w:val="24"/>
          <w:lang w:val="en-GB"/>
        </w:rPr>
        <w:t xml:space="preserve">, SST, AT, Density, and </w:t>
      </w:r>
      <w:proofErr w:type="spellStart"/>
      <w:r w:rsidR="004E6AEA">
        <w:rPr>
          <w:rFonts w:ascii="Times New Roman" w:hAnsi="Times New Roman" w:cs="Times New Roman"/>
          <w:sz w:val="24"/>
          <w:lang w:val="en-GB"/>
        </w:rPr>
        <w:t>SEAc</w:t>
      </w:r>
      <w:proofErr w:type="spellEnd"/>
      <w:r w:rsidR="004E6AEA">
        <w:rPr>
          <w:rFonts w:ascii="Times New Roman" w:hAnsi="Times New Roman" w:cs="Times New Roman"/>
          <w:sz w:val="24"/>
          <w:lang w:val="en-GB"/>
        </w:rPr>
        <w:t>) and genetic distances (</w:t>
      </w:r>
      <w:r w:rsidR="004E6AEA" w:rsidRPr="004E6AEA">
        <w:rPr>
          <w:rFonts w:ascii="Times New Roman" w:hAnsi="Times New Roman" w:cs="Times New Roman"/>
          <w:i/>
          <w:sz w:val="24"/>
          <w:lang w:val="en-GB"/>
        </w:rPr>
        <w:t>D</w:t>
      </w:r>
      <w:r w:rsidR="004E6AEA" w:rsidRPr="004E6AEA">
        <w:rPr>
          <w:rFonts w:ascii="Times New Roman" w:hAnsi="Times New Roman" w:cs="Times New Roman"/>
          <w:i/>
          <w:sz w:val="24"/>
          <w:vertAlign w:val="subscript"/>
          <w:lang w:val="en-GB"/>
        </w:rPr>
        <w:t>SW</w:t>
      </w:r>
      <w:r w:rsidR="004E6AEA">
        <w:rPr>
          <w:rFonts w:ascii="Times New Roman" w:hAnsi="Times New Roman" w:cs="Times New Roman"/>
          <w:sz w:val="24"/>
          <w:lang w:val="en-GB"/>
        </w:rPr>
        <w:t xml:space="preserve"> and </w:t>
      </w:r>
      <w:r w:rsidR="004E6AEA" w:rsidRPr="004E6AEA">
        <w:rPr>
          <w:rFonts w:ascii="Times New Roman" w:hAnsi="Times New Roman" w:cs="Times New Roman"/>
          <w:i/>
          <w:sz w:val="24"/>
          <w:lang w:val="en-GB"/>
        </w:rPr>
        <w:t>D</w:t>
      </w:r>
      <w:r w:rsidR="004E6AEA" w:rsidRPr="004E6AEA">
        <w:rPr>
          <w:rFonts w:ascii="Times New Roman" w:hAnsi="Times New Roman" w:cs="Times New Roman"/>
          <w:sz w:val="24"/>
          <w:vertAlign w:val="subscript"/>
          <w:lang w:val="en-GB"/>
        </w:rPr>
        <w:t>SW</w:t>
      </w:r>
      <w:r w:rsidR="004E6AEA">
        <w:rPr>
          <w:rFonts w:ascii="Times New Roman" w:hAnsi="Times New Roman" w:cs="Times New Roman"/>
          <w:sz w:val="24"/>
          <w:lang w:val="en-GB"/>
        </w:rPr>
        <w:t xml:space="preserve"> w/o SPSP) were performed with partial Mantel tests, controlling for the effect of between-population geographical distance (</w:t>
      </w:r>
      <w:proofErr w:type="spellStart"/>
      <w:r w:rsidR="004E6AEA">
        <w:rPr>
          <w:rFonts w:ascii="Times New Roman" w:hAnsi="Times New Roman" w:cs="Times New Roman"/>
          <w:sz w:val="24"/>
          <w:lang w:val="en-GB"/>
        </w:rPr>
        <w:t>GeoDis</w:t>
      </w:r>
      <w:proofErr w:type="spellEnd"/>
      <w:r w:rsidR="004E6AEA">
        <w:rPr>
          <w:rFonts w:ascii="Times New Roman" w:hAnsi="Times New Roman" w:cs="Times New Roman"/>
          <w:sz w:val="24"/>
          <w:lang w:val="en-GB"/>
        </w:rPr>
        <w:t xml:space="preserve">). </w:t>
      </w:r>
      <w:r w:rsidRPr="004E6AEA">
        <w:rPr>
          <w:rFonts w:ascii="Times New Roman" w:hAnsi="Times New Roman" w:cs="Times New Roman"/>
          <w:sz w:val="24"/>
          <w:lang w:val="en-US"/>
        </w:rPr>
        <w:t xml:space="preserve">Bold values represent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Pr="004E6AEA">
        <w:rPr>
          <w:rFonts w:ascii="Times New Roman" w:hAnsi="Times New Roman" w:cs="Times New Roman"/>
          <w:sz w:val="24"/>
          <w:lang w:val="en-US"/>
        </w:rPr>
        <w:t xml:space="preserve">-values &lt; .01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134"/>
        <w:gridCol w:w="1276"/>
        <w:gridCol w:w="1134"/>
        <w:gridCol w:w="992"/>
        <w:gridCol w:w="1185"/>
        <w:gridCol w:w="1225"/>
      </w:tblGrid>
      <w:tr w:rsidR="00872602" w:rsidRPr="00872602" w:rsidTr="008726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</w:t>
            </w:r>
            <w:r w:rsidRPr="00872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pt-BR"/>
              </w:rPr>
              <w:t>SW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</w:t>
            </w:r>
            <w:r w:rsidRPr="00872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pt-BR"/>
              </w:rPr>
              <w:t>SW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w/</w:t>
            </w: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SPSP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GeoDis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0.511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0.785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0.741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0.748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72602" w:rsidRPr="00872602" w:rsidTr="0087260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72602" w:rsidRPr="00872602" w:rsidRDefault="00872602" w:rsidP="008726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SEAc</w:t>
            </w:r>
            <w:proofErr w:type="spellEnd"/>
          </w:p>
        </w:tc>
      </w:tr>
    </w:tbl>
    <w:p w:rsidR="00180205" w:rsidRPr="00D353A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80205" w:rsidRPr="00D353A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80205" w:rsidRPr="00D353A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80205" w:rsidRPr="00D353A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80205" w:rsidRPr="004E6AEA" w:rsidRDefault="00180205" w:rsidP="0018020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D353AA">
        <w:rPr>
          <w:rFonts w:ascii="Times New Roman" w:hAnsi="Times New Roman" w:cs="Times New Roman"/>
          <w:noProof/>
          <w:sz w:val="24"/>
          <w:lang w:eastAsia="pt-BR"/>
        </w:rPr>
        <w:lastRenderedPageBreak/>
        <w:drawing>
          <wp:inline distT="0" distB="0" distL="0" distR="0" wp14:anchorId="2E58BF64" wp14:editId="1DB31BA6">
            <wp:extent cx="5399405" cy="3181978"/>
            <wp:effectExtent l="0" t="0" r="0" b="0"/>
            <wp:docPr id="11" name="Imagem 11" descr="C:\Users\GuilhermeTN\Google Drive\Genética leucogaster\Resultados\Nunes et al_Figure2_Su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hermeTN\Google Drive\Genética leucogaster\Resultados\Nunes et al_Figure2_Sula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03" w:rsidRPr="00D353AA" w:rsidRDefault="0018020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80205">
        <w:rPr>
          <w:rFonts w:ascii="Times New Roman" w:hAnsi="Times New Roman" w:cs="Times New Roman"/>
          <w:b/>
          <w:sz w:val="24"/>
          <w:lang w:val="en-US"/>
        </w:rPr>
        <w:t>Figure 2.1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Proportion of each allele frequency range for the brown booby</w:t>
      </w:r>
      <w:r w:rsidR="000672B3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0B0E03" w:rsidRPr="00D353AA">
        <w:rPr>
          <w:rFonts w:ascii="Times New Roman" w:hAnsi="Times New Roman" w:cs="Times New Roman"/>
          <w:i/>
          <w:sz w:val="24"/>
          <w:lang w:val="en-US"/>
        </w:rPr>
        <w:t xml:space="preserve">Sula </w:t>
      </w:r>
      <w:proofErr w:type="spellStart"/>
      <w:r w:rsidR="000B0E03" w:rsidRPr="00D353AA">
        <w:rPr>
          <w:rFonts w:ascii="Times New Roman" w:hAnsi="Times New Roman" w:cs="Times New Roman"/>
          <w:i/>
          <w:sz w:val="24"/>
          <w:lang w:val="en-US"/>
        </w:rPr>
        <w:t>leucogaster</w:t>
      </w:r>
      <w:proofErr w:type="spellEnd"/>
      <w:r w:rsidR="000672B3">
        <w:rPr>
          <w:rFonts w:ascii="Times New Roman" w:hAnsi="Times New Roman" w:cs="Times New Roman"/>
          <w:sz w:val="24"/>
          <w:lang w:val="en-US"/>
        </w:rPr>
        <w:t>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colonies in the south</w:t>
      </w:r>
      <w:r w:rsidR="00081675">
        <w:rPr>
          <w:rFonts w:ascii="Times New Roman" w:hAnsi="Times New Roman" w:cs="Times New Roman"/>
          <w:sz w:val="24"/>
          <w:lang w:val="en-US"/>
        </w:rPr>
        <w:t>-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western Atlantic Ocean. </w:t>
      </w:r>
      <w:r w:rsidR="000B0E03">
        <w:rPr>
          <w:rFonts w:ascii="Times New Roman" w:hAnsi="Times New Roman" w:cs="Times New Roman"/>
          <w:sz w:val="24"/>
          <w:lang w:val="en-US"/>
        </w:rPr>
        <w:t>Mode-shifted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distributions</w:t>
      </w:r>
      <w:r w:rsidR="000B0E03">
        <w:rPr>
          <w:rFonts w:ascii="Times New Roman" w:hAnsi="Times New Roman" w:cs="Times New Roman"/>
          <w:sz w:val="24"/>
          <w:lang w:val="en-US"/>
        </w:rPr>
        <w:t xml:space="preserve">, that is, </w:t>
      </w:r>
      <w:r w:rsidR="000B0E03" w:rsidRPr="008E1FA0">
        <w:rPr>
          <w:rFonts w:ascii="Times New Roman" w:hAnsi="Times New Roman" w:cs="Times New Roman"/>
          <w:sz w:val="24"/>
          <w:lang w:val="en-US"/>
        </w:rPr>
        <w:t>a distribution with fewer</w:t>
      </w:r>
      <w:r w:rsidR="000B0E03">
        <w:rPr>
          <w:rFonts w:ascii="Times New Roman" w:hAnsi="Times New Roman" w:cs="Times New Roman"/>
          <w:sz w:val="24"/>
          <w:lang w:val="en-US"/>
        </w:rPr>
        <w:t xml:space="preserve"> </w:t>
      </w:r>
      <w:r w:rsidR="000B0E03" w:rsidRPr="008E1FA0">
        <w:rPr>
          <w:rFonts w:ascii="Times New Roman" w:hAnsi="Times New Roman" w:cs="Times New Roman"/>
          <w:sz w:val="24"/>
          <w:lang w:val="en-US"/>
        </w:rPr>
        <w:t xml:space="preserve">alleles </w:t>
      </w:r>
      <w:r w:rsidR="000B0E03">
        <w:rPr>
          <w:rFonts w:ascii="Times New Roman" w:hAnsi="Times New Roman" w:cs="Times New Roman"/>
          <w:sz w:val="24"/>
          <w:lang w:val="en-US"/>
        </w:rPr>
        <w:t>in the low frequency class (&lt;</w:t>
      </w:r>
      <w:r w:rsidR="000672B3">
        <w:rPr>
          <w:rFonts w:ascii="Times New Roman" w:hAnsi="Times New Roman" w:cs="Times New Roman"/>
          <w:sz w:val="24"/>
          <w:lang w:val="en-US"/>
        </w:rPr>
        <w:t xml:space="preserve"> </w:t>
      </w:r>
      <w:r w:rsidR="000B0E03">
        <w:rPr>
          <w:rFonts w:ascii="Times New Roman" w:hAnsi="Times New Roman" w:cs="Times New Roman"/>
          <w:sz w:val="24"/>
          <w:lang w:val="en-US"/>
        </w:rPr>
        <w:t>.2</w:t>
      </w:r>
      <w:r w:rsidR="000B0E03" w:rsidRPr="008E1FA0">
        <w:rPr>
          <w:rFonts w:ascii="Times New Roman" w:hAnsi="Times New Roman" w:cs="Times New Roman"/>
          <w:sz w:val="24"/>
          <w:lang w:val="en-US"/>
        </w:rPr>
        <w:t>)</w:t>
      </w:r>
      <w:r w:rsidR="000B0E03">
        <w:rPr>
          <w:rFonts w:ascii="Times New Roman" w:hAnsi="Times New Roman" w:cs="Times New Roman"/>
          <w:sz w:val="24"/>
          <w:lang w:val="en-US"/>
        </w:rPr>
        <w:t xml:space="preserve"> </w:t>
      </w:r>
      <w:r w:rsidR="000B0E03" w:rsidRPr="008E1FA0">
        <w:rPr>
          <w:rFonts w:ascii="Times New Roman" w:hAnsi="Times New Roman" w:cs="Times New Roman"/>
          <w:sz w:val="24"/>
          <w:lang w:val="en-US"/>
        </w:rPr>
        <w:t>than in one or more intermediate frequency classes (e.g. .</w:t>
      </w:r>
      <w:r w:rsidR="000B0E03">
        <w:rPr>
          <w:rFonts w:ascii="Times New Roman" w:hAnsi="Times New Roman" w:cs="Times New Roman"/>
          <w:sz w:val="24"/>
          <w:lang w:val="en-US"/>
        </w:rPr>
        <w:t>41</w:t>
      </w:r>
      <w:r w:rsidR="000672B3" w:rsidRPr="00D353AA">
        <w:rPr>
          <w:rFonts w:ascii="Times New Roman" w:hAnsi="Times New Roman" w:cs="Times New Roman"/>
          <w:sz w:val="24"/>
          <w:lang w:val="en-US"/>
        </w:rPr>
        <w:t>–</w:t>
      </w:r>
      <w:r w:rsidR="000B0E03">
        <w:rPr>
          <w:rFonts w:ascii="Times New Roman" w:hAnsi="Times New Roman" w:cs="Times New Roman"/>
          <w:sz w:val="24"/>
          <w:lang w:val="en-US"/>
        </w:rPr>
        <w:t>.6),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indicate populations bottlenecked less than about a dozen generations ago. </w:t>
      </w:r>
      <w:r w:rsidR="000B0E03" w:rsidRPr="00D353AA">
        <w:rPr>
          <w:rFonts w:ascii="Times New Roman" w:hAnsi="Times New Roman" w:cs="Times New Roman"/>
          <w:sz w:val="24"/>
        </w:rPr>
        <w:t xml:space="preserve">SPSP = Saint Peter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and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 Saint Paul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FN = Fernando de Noronha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Rocas = Rocas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Atoll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Moleques = Moleques do Sul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B0E03" w:rsidRPr="00D353AA" w:rsidRDefault="003C4022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drawing>
          <wp:inline distT="0" distB="0" distL="0" distR="0" wp14:anchorId="4AB32CB6" wp14:editId="56C71330">
            <wp:extent cx="5219700" cy="45596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03" w:rsidRPr="00D353AA" w:rsidRDefault="0018020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Figure 2.2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</w:t>
      </w:r>
      <w:r w:rsidR="00957BA2">
        <w:rPr>
          <w:rFonts w:ascii="Times New Roman" w:hAnsi="Times New Roman" w:cs="Times New Roman"/>
          <w:sz w:val="24"/>
          <w:lang w:val="en-US"/>
        </w:rPr>
        <w:t xml:space="preserve">Cluster arrangements based on genetic data of six colonies of brown boobies, </w:t>
      </w:r>
      <w:r w:rsidR="00957BA2" w:rsidRPr="00957BA2">
        <w:rPr>
          <w:rFonts w:ascii="Times New Roman" w:hAnsi="Times New Roman" w:cs="Times New Roman"/>
          <w:i/>
          <w:sz w:val="24"/>
          <w:lang w:val="en-US"/>
        </w:rPr>
        <w:t xml:space="preserve">Sula </w:t>
      </w:r>
      <w:proofErr w:type="spellStart"/>
      <w:r w:rsidR="00957BA2" w:rsidRPr="00957BA2">
        <w:rPr>
          <w:rFonts w:ascii="Times New Roman" w:hAnsi="Times New Roman" w:cs="Times New Roman"/>
          <w:i/>
          <w:sz w:val="24"/>
          <w:lang w:val="en-US"/>
        </w:rPr>
        <w:t>leucogaster</w:t>
      </w:r>
      <w:proofErr w:type="spellEnd"/>
      <w:r w:rsidR="00957BA2">
        <w:rPr>
          <w:rFonts w:ascii="Times New Roman" w:hAnsi="Times New Roman" w:cs="Times New Roman"/>
          <w:sz w:val="24"/>
          <w:lang w:val="en-US"/>
        </w:rPr>
        <w:t>, in the south</w:t>
      </w:r>
      <w:r w:rsidR="00081675">
        <w:rPr>
          <w:rFonts w:ascii="Times New Roman" w:hAnsi="Times New Roman" w:cs="Times New Roman"/>
          <w:sz w:val="24"/>
          <w:lang w:val="en-US"/>
        </w:rPr>
        <w:t>-</w:t>
      </w:r>
      <w:r w:rsidR="00957BA2">
        <w:rPr>
          <w:rFonts w:ascii="Times New Roman" w:hAnsi="Times New Roman" w:cs="Times New Roman"/>
          <w:sz w:val="24"/>
          <w:lang w:val="en-US"/>
        </w:rPr>
        <w:t>western Atlantic Ocean. (a) Phylogenetic tree built with the neighbor-joining method from a matrix of between-population genetic distances (</w:t>
      </w:r>
      <w:r w:rsidR="00957BA2" w:rsidRPr="00957BA2">
        <w:rPr>
          <w:rFonts w:ascii="Times New Roman" w:hAnsi="Times New Roman" w:cs="Times New Roman"/>
          <w:i/>
          <w:sz w:val="24"/>
          <w:lang w:val="en-US"/>
        </w:rPr>
        <w:t>D</w:t>
      </w:r>
      <w:r w:rsidR="00957BA2" w:rsidRPr="00957BA2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 w:rsidR="000672B3">
        <w:rPr>
          <w:rFonts w:ascii="Times New Roman" w:hAnsi="Times New Roman" w:cs="Times New Roman"/>
          <w:sz w:val="24"/>
          <w:lang w:val="en-US"/>
        </w:rPr>
        <w:t>,</w:t>
      </w:r>
      <w:r w:rsidR="00957BA2">
        <w:rPr>
          <w:rFonts w:ascii="Times New Roman" w:hAnsi="Times New Roman" w:cs="Times New Roman"/>
          <w:sz w:val="24"/>
          <w:lang w:val="en-US"/>
        </w:rPr>
        <w:t xml:space="preserve"> Shriver </w:t>
      </w:r>
      <w:r w:rsidR="00957BA2" w:rsidRPr="00F003A0">
        <w:rPr>
          <w:rFonts w:ascii="Times New Roman" w:hAnsi="Times New Roman" w:cs="Times New Roman"/>
          <w:sz w:val="24"/>
          <w:lang w:val="en-US"/>
        </w:rPr>
        <w:t>et al</w:t>
      </w:r>
      <w:r w:rsidR="00957BA2" w:rsidRPr="00081675">
        <w:rPr>
          <w:rFonts w:ascii="Times New Roman" w:hAnsi="Times New Roman" w:cs="Times New Roman"/>
          <w:sz w:val="24"/>
          <w:lang w:val="en-US"/>
        </w:rPr>
        <w:t>.</w:t>
      </w:r>
      <w:r w:rsidR="00957BA2">
        <w:rPr>
          <w:rFonts w:ascii="Times New Roman" w:hAnsi="Times New Roman" w:cs="Times New Roman"/>
          <w:sz w:val="24"/>
          <w:lang w:val="en-US"/>
        </w:rPr>
        <w:t>, 1995); and (b) m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ultivariate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bidimensional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clustering based on pairwise genetic distances (</w:t>
      </w:r>
      <w:r w:rsidR="00957BA2" w:rsidRPr="00957BA2">
        <w:rPr>
          <w:rFonts w:ascii="Times New Roman" w:hAnsi="Times New Roman" w:cs="Times New Roman"/>
          <w:i/>
          <w:sz w:val="24"/>
          <w:lang w:val="en-US"/>
        </w:rPr>
        <w:t>D</w:t>
      </w:r>
      <w:r w:rsidR="00957BA2" w:rsidRPr="00957BA2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 w:rsidR="000B0E03" w:rsidRPr="00D353AA">
        <w:rPr>
          <w:rFonts w:ascii="Times New Roman" w:hAnsi="Times New Roman" w:cs="Times New Roman"/>
          <w:sz w:val="24"/>
          <w:lang w:val="en-US"/>
        </w:rPr>
        <w:t>) provided by Principal Coordinate Analysis. The two pr</w:t>
      </w:r>
      <w:r w:rsidR="00957BA2">
        <w:rPr>
          <w:rFonts w:ascii="Times New Roman" w:hAnsi="Times New Roman" w:cs="Times New Roman"/>
          <w:sz w:val="24"/>
          <w:lang w:val="en-US"/>
        </w:rPr>
        <w:t>incipal coordinates explained 9</w:t>
      </w:r>
      <w:r w:rsidR="0035214C">
        <w:rPr>
          <w:rFonts w:ascii="Times New Roman" w:hAnsi="Times New Roman" w:cs="Times New Roman"/>
          <w:sz w:val="24"/>
          <w:lang w:val="en-US"/>
        </w:rPr>
        <w:t>1.9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% of the total variance. SPSP = Saint Peter and Saint Paul Archipelago; FN = Fernando de Noronha Archipelago;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Rocas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Rocas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Atoll;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Moleques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Moleques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="000B0E03" w:rsidRPr="00D353AA">
        <w:rPr>
          <w:rFonts w:ascii="Times New Roman" w:hAnsi="Times New Roman" w:cs="Times New Roman"/>
          <w:sz w:val="24"/>
          <w:lang w:val="en-US"/>
        </w:rPr>
        <w:t>Sul</w:t>
      </w:r>
      <w:proofErr w:type="spellEnd"/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Archipelago</w:t>
      </w:r>
    </w:p>
    <w:p w:rsidR="000B0E03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B0E03" w:rsidRPr="00816C5F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353AA">
        <w:rPr>
          <w:rFonts w:ascii="Times New Roman" w:hAnsi="Times New Roman" w:cs="Times New Roman"/>
          <w:sz w:val="24"/>
          <w:lang w:val="en-US"/>
        </w:rPr>
        <w:lastRenderedPageBreak/>
        <w:t xml:space="preserve">          </w:t>
      </w:r>
      <w:r w:rsidR="00215C57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533EEB5F" wp14:editId="2FD8750D">
            <wp:extent cx="6264322" cy="5057788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75" cy="50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57" w:rsidRDefault="00215C57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15C57">
        <w:rPr>
          <w:rFonts w:ascii="Times New Roman" w:hAnsi="Times New Roman" w:cs="Times New Roman"/>
          <w:b/>
          <w:sz w:val="24"/>
          <w:lang w:val="en-US"/>
        </w:rPr>
        <w:t>Figure 2.3</w:t>
      </w:r>
      <w:r>
        <w:rPr>
          <w:rFonts w:ascii="Times New Roman" w:hAnsi="Times New Roman" w:cs="Times New Roman"/>
          <w:sz w:val="24"/>
          <w:lang w:val="en-US"/>
        </w:rPr>
        <w:t xml:space="preserve"> (a) and (c</w:t>
      </w:r>
      <w:r w:rsidRPr="00215C57">
        <w:rPr>
          <w:rFonts w:ascii="Times New Roman" w:hAnsi="Times New Roman" w:cs="Times New Roman"/>
          <w:sz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215C57">
        <w:rPr>
          <w:rFonts w:ascii="Times New Roman" w:hAnsi="Times New Roman" w:cs="Times New Roman"/>
          <w:sz w:val="24"/>
          <w:lang w:val="en-US"/>
        </w:rPr>
        <w:t xml:space="preserve">ethod used for detecting the best number of clusters (K) based on </w:t>
      </w:r>
      <w:proofErr w:type="spellStart"/>
      <w:r w:rsidRPr="00215C57">
        <w:rPr>
          <w:rFonts w:ascii="Times New Roman" w:hAnsi="Times New Roman" w:cs="Times New Roman"/>
          <w:sz w:val="24"/>
          <w:lang w:val="en-US"/>
        </w:rPr>
        <w:t>Evanno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Regnaut</w:t>
      </w:r>
      <w:proofErr w:type="spellEnd"/>
      <w:r w:rsidR="00081675"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 w:rsidR="00081675">
        <w:rPr>
          <w:rFonts w:ascii="Times New Roman" w:hAnsi="Times New Roman" w:cs="Times New Roman"/>
          <w:sz w:val="24"/>
          <w:lang w:val="en-US"/>
        </w:rPr>
        <w:t>Goudet</w:t>
      </w:r>
      <w:proofErr w:type="spellEnd"/>
      <w:r w:rsidRPr="00215C57">
        <w:rPr>
          <w:rFonts w:ascii="Times New Roman" w:hAnsi="Times New Roman" w:cs="Times New Roman"/>
          <w:sz w:val="24"/>
          <w:lang w:val="en-US"/>
        </w:rPr>
        <w:t xml:space="preserve"> (2005) in scenarios</w:t>
      </w:r>
      <w:r>
        <w:rPr>
          <w:rFonts w:ascii="Times New Roman" w:hAnsi="Times New Roman" w:cs="Times New Roman"/>
          <w:sz w:val="24"/>
          <w:lang w:val="en-US"/>
        </w:rPr>
        <w:t xml:space="preserve"> with and without individuals f</w:t>
      </w:r>
      <w:r w:rsidRPr="00215C57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15C57">
        <w:rPr>
          <w:rFonts w:ascii="Times New Roman" w:hAnsi="Times New Roman" w:cs="Times New Roman"/>
          <w:sz w:val="24"/>
          <w:lang w:val="en-US"/>
        </w:rPr>
        <w:t>m Saint Peter and Saint Pa</w:t>
      </w:r>
      <w:r>
        <w:rPr>
          <w:rFonts w:ascii="Times New Roman" w:hAnsi="Times New Roman" w:cs="Times New Roman"/>
          <w:sz w:val="24"/>
          <w:lang w:val="en-US"/>
        </w:rPr>
        <w:t xml:space="preserve">ul </w:t>
      </w:r>
      <w:r w:rsidR="00816C5F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rchipelago, respectively. (b) and (d)</w:t>
      </w:r>
      <w:r w:rsidR="00081675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m</w:t>
      </w:r>
      <w:r w:rsidRPr="00215C57">
        <w:rPr>
          <w:rFonts w:ascii="Times New Roman" w:hAnsi="Times New Roman" w:cs="Times New Roman"/>
          <w:sz w:val="24"/>
          <w:lang w:val="en-US"/>
        </w:rPr>
        <w:t xml:space="preserve">ean likelihood L(K) and variance per K value from STRUCTURE data in scenarios with and without individuals from Saint Peter and Saint Paul </w:t>
      </w:r>
      <w:r w:rsidR="00816C5F">
        <w:rPr>
          <w:rFonts w:ascii="Times New Roman" w:hAnsi="Times New Roman" w:cs="Times New Roman"/>
          <w:sz w:val="24"/>
          <w:lang w:val="en-US"/>
        </w:rPr>
        <w:t>A</w:t>
      </w:r>
      <w:r w:rsidRPr="00215C57">
        <w:rPr>
          <w:rFonts w:ascii="Times New Roman" w:hAnsi="Times New Roman" w:cs="Times New Roman"/>
          <w:sz w:val="24"/>
          <w:lang w:val="en-US"/>
        </w:rPr>
        <w:t>rchipelago respectively</w:t>
      </w:r>
    </w:p>
    <w:p w:rsidR="00081675" w:rsidRDefault="0008167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81675" w:rsidRPr="00215C57" w:rsidRDefault="0008167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  <w:sectPr w:rsidR="00081675" w:rsidRPr="00215C57" w:rsidSect="00215C57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0B0E03" w:rsidRPr="00D353AA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353AA">
        <w:rPr>
          <w:rFonts w:ascii="Times New Roman" w:hAnsi="Times New Roman" w:cs="Times New Roman"/>
          <w:noProof/>
          <w:sz w:val="24"/>
          <w:lang w:eastAsia="pt-BR"/>
        </w:rPr>
        <w:lastRenderedPageBreak/>
        <w:drawing>
          <wp:inline distT="0" distB="0" distL="0" distR="0" wp14:anchorId="16698912" wp14:editId="69BC222C">
            <wp:extent cx="5400040" cy="4780877"/>
            <wp:effectExtent l="0" t="0" r="0" b="1270"/>
            <wp:docPr id="15" name="Imagem 15" descr="C:\Users\GuilhermeTN\Google Drive\Genética leucogaster\Resultados\SIBER\SEAc ellipses sula Brasi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hermeTN\Google Drive\Genética leucogaster\Resultados\SIBER\SEAc ellipses sula Brasil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03" w:rsidRPr="00D353AA" w:rsidRDefault="0018020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Figure 2.4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 Bayesian ellipses based on isotopic data of carbon and nitrogen with 95% </w:t>
      </w:r>
      <w:r w:rsidR="000672B3">
        <w:rPr>
          <w:rFonts w:ascii="Times New Roman" w:hAnsi="Times New Roman" w:cs="Times New Roman"/>
          <w:sz w:val="24"/>
          <w:lang w:val="en-US"/>
        </w:rPr>
        <w:t>Credibility I</w:t>
      </w:r>
      <w:r w:rsidR="000B0E03" w:rsidRPr="00D353AA">
        <w:rPr>
          <w:rFonts w:ascii="Times New Roman" w:hAnsi="Times New Roman" w:cs="Times New Roman"/>
          <w:sz w:val="24"/>
          <w:lang w:val="en-US"/>
        </w:rPr>
        <w:t xml:space="preserve">nterval and corrected for small sample size, as implemented in the package SIBER. </w:t>
      </w:r>
      <w:r w:rsidR="000B0E03" w:rsidRPr="00D353AA">
        <w:rPr>
          <w:rFonts w:ascii="Times New Roman" w:hAnsi="Times New Roman" w:cs="Times New Roman"/>
          <w:sz w:val="24"/>
        </w:rPr>
        <w:t xml:space="preserve">SPSP = Saint Peter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and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 Saint Paul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FN = Fernando de Noronha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Rocas = Rocas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Atoll</w:t>
      </w:r>
      <w:proofErr w:type="spellEnd"/>
      <w:r w:rsidR="000B0E03" w:rsidRPr="00D353AA">
        <w:rPr>
          <w:rFonts w:ascii="Times New Roman" w:hAnsi="Times New Roman" w:cs="Times New Roman"/>
          <w:sz w:val="24"/>
        </w:rPr>
        <w:t xml:space="preserve">; Moleques = Moleques do Sul </w:t>
      </w:r>
      <w:proofErr w:type="spellStart"/>
      <w:r w:rsidR="000B0E03" w:rsidRPr="00D353AA">
        <w:rPr>
          <w:rFonts w:ascii="Times New Roman" w:hAnsi="Times New Roman" w:cs="Times New Roman"/>
          <w:sz w:val="24"/>
        </w:rPr>
        <w:t>Archipelago</w:t>
      </w:r>
      <w:proofErr w:type="spellEnd"/>
    </w:p>
    <w:p w:rsidR="000B0E03" w:rsidRPr="003C4022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B0E03" w:rsidRDefault="000B0E03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3B07" w:rsidRPr="003C4022" w:rsidRDefault="00E207B5" w:rsidP="000B0E0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w:drawing>
          <wp:inline distT="0" distB="0" distL="0" distR="0" wp14:anchorId="6A236832" wp14:editId="6B613DBF">
            <wp:extent cx="5237773" cy="6698512"/>
            <wp:effectExtent l="0" t="0" r="127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02" cy="66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03" w:rsidRDefault="00483B07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83B07">
        <w:rPr>
          <w:rFonts w:ascii="Times New Roman" w:hAnsi="Times New Roman" w:cs="Times New Roman"/>
          <w:b/>
          <w:sz w:val="24"/>
          <w:lang w:val="en-US"/>
        </w:rPr>
        <w:t xml:space="preserve">Figure 2.5 </w:t>
      </w:r>
      <w:r>
        <w:rPr>
          <w:rFonts w:ascii="Times New Roman" w:hAnsi="Times New Roman" w:cs="Times New Roman"/>
          <w:sz w:val="24"/>
          <w:lang w:val="en-US"/>
        </w:rPr>
        <w:t>Correspondence</w:t>
      </w:r>
      <w:r w:rsidRPr="00483B07">
        <w:rPr>
          <w:rFonts w:ascii="Times New Roman" w:hAnsi="Times New Roman" w:cs="Times New Roman"/>
          <w:sz w:val="24"/>
          <w:lang w:val="en-US"/>
        </w:rPr>
        <w:t xml:space="preserve"> between pairwise geographical (log-transformed) and genetic distances (linearized </w:t>
      </w:r>
      <w:r w:rsidRPr="00483B07">
        <w:rPr>
          <w:rFonts w:ascii="Times New Roman" w:hAnsi="Times New Roman" w:cs="Times New Roman"/>
          <w:i/>
          <w:sz w:val="24"/>
          <w:lang w:val="en-US"/>
        </w:rPr>
        <w:t>D</w:t>
      </w:r>
      <w:r w:rsidRPr="00483B07">
        <w:rPr>
          <w:rFonts w:ascii="Times New Roman" w:hAnsi="Times New Roman" w:cs="Times New Roman"/>
          <w:i/>
          <w:sz w:val="24"/>
          <w:vertAlign w:val="subscript"/>
          <w:lang w:val="en-US"/>
        </w:rPr>
        <w:t>SW</w:t>
      </w:r>
      <w:r>
        <w:rPr>
          <w:rFonts w:ascii="Times New Roman" w:hAnsi="Times New Roman" w:cs="Times New Roman"/>
          <w:sz w:val="24"/>
          <w:lang w:val="en-US"/>
        </w:rPr>
        <w:t xml:space="preserve">) from </w:t>
      </w:r>
      <w:r w:rsidR="00E207B5">
        <w:rPr>
          <w:rFonts w:ascii="Times New Roman" w:hAnsi="Times New Roman" w:cs="Times New Roman"/>
          <w:sz w:val="24"/>
          <w:lang w:val="en-US"/>
        </w:rPr>
        <w:t>brown boobies</w:t>
      </w:r>
      <w:r w:rsidR="000672B3">
        <w:rPr>
          <w:rFonts w:ascii="Times New Roman" w:hAnsi="Times New Roman" w:cs="Times New Roman"/>
          <w:sz w:val="24"/>
          <w:lang w:val="en-US"/>
        </w:rPr>
        <w:t xml:space="preserve">, </w:t>
      </w:r>
      <w:r w:rsidR="000672B3" w:rsidRPr="0035214C">
        <w:rPr>
          <w:rFonts w:ascii="Times New Roman" w:hAnsi="Times New Roman" w:cs="Times New Roman"/>
          <w:i/>
          <w:sz w:val="24"/>
          <w:lang w:val="en-US"/>
        </w:rPr>
        <w:t xml:space="preserve">Sula </w:t>
      </w:r>
      <w:proofErr w:type="spellStart"/>
      <w:r w:rsidR="000672B3" w:rsidRPr="0035214C">
        <w:rPr>
          <w:rFonts w:ascii="Times New Roman" w:hAnsi="Times New Roman" w:cs="Times New Roman"/>
          <w:i/>
          <w:sz w:val="24"/>
          <w:lang w:val="en-US"/>
        </w:rPr>
        <w:t>leucogaster</w:t>
      </w:r>
      <w:proofErr w:type="spellEnd"/>
      <w:r w:rsidR="000672B3">
        <w:rPr>
          <w:rFonts w:ascii="Times New Roman" w:hAnsi="Times New Roman" w:cs="Times New Roman"/>
          <w:sz w:val="24"/>
          <w:lang w:val="en-US"/>
        </w:rPr>
        <w:t>,</w:t>
      </w:r>
      <w:r w:rsidRPr="00483B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 the southwest</w:t>
      </w:r>
      <w:r w:rsidR="000672B3">
        <w:rPr>
          <w:rFonts w:ascii="Times New Roman" w:hAnsi="Times New Roman" w:cs="Times New Roman"/>
          <w:sz w:val="24"/>
          <w:lang w:val="en-US"/>
        </w:rPr>
        <w:t>ern</w:t>
      </w:r>
      <w:r>
        <w:rPr>
          <w:rFonts w:ascii="Times New Roman" w:hAnsi="Times New Roman" w:cs="Times New Roman"/>
          <w:sz w:val="24"/>
          <w:lang w:val="en-US"/>
        </w:rPr>
        <w:t xml:space="preserve"> Atlantic Ocean</w:t>
      </w:r>
      <w:r w:rsidR="00E207B5">
        <w:rPr>
          <w:rFonts w:ascii="Times New Roman" w:hAnsi="Times New Roman" w:cs="Times New Roman"/>
          <w:sz w:val="24"/>
          <w:lang w:val="en-US"/>
        </w:rPr>
        <w:t>, considering scenarios with (a) and without (b) the Sain</w:t>
      </w:r>
      <w:r w:rsidR="00081675">
        <w:rPr>
          <w:rFonts w:ascii="Times New Roman" w:hAnsi="Times New Roman" w:cs="Times New Roman"/>
          <w:sz w:val="24"/>
          <w:lang w:val="en-US"/>
        </w:rPr>
        <w:t>t</w:t>
      </w:r>
      <w:r w:rsidR="00E207B5">
        <w:rPr>
          <w:rFonts w:ascii="Times New Roman" w:hAnsi="Times New Roman" w:cs="Times New Roman"/>
          <w:sz w:val="24"/>
          <w:lang w:val="en-US"/>
        </w:rPr>
        <w:t xml:space="preserve"> Peter and Saint Paul Archipelago (SPSP)</w:t>
      </w:r>
      <w:r w:rsidRPr="00483B07">
        <w:rPr>
          <w:rFonts w:ascii="Times New Roman" w:hAnsi="Times New Roman" w:cs="Times New Roman"/>
          <w:sz w:val="24"/>
          <w:lang w:val="en-US"/>
        </w:rPr>
        <w:t>.</w:t>
      </w:r>
      <w:r w:rsidR="00E207B5">
        <w:rPr>
          <w:rFonts w:ascii="Times New Roman" w:hAnsi="Times New Roman" w:cs="Times New Roman"/>
          <w:sz w:val="24"/>
          <w:lang w:val="en-US"/>
        </w:rPr>
        <w:t xml:space="preserve"> </w:t>
      </w:r>
      <w:r w:rsidR="0035214C">
        <w:rPr>
          <w:rFonts w:ascii="Times New Roman" w:hAnsi="Times New Roman" w:cs="Times New Roman"/>
          <w:sz w:val="24"/>
          <w:lang w:val="en-US"/>
        </w:rPr>
        <w:t xml:space="preserve">Coefficients of determination </w:t>
      </w:r>
      <w:r w:rsidR="0035214C" w:rsidRPr="00D353AA">
        <w:rPr>
          <w:rFonts w:ascii="Times New Roman" w:hAnsi="Times New Roman" w:cs="Times New Roman"/>
          <w:sz w:val="24"/>
          <w:lang w:val="en-US"/>
        </w:rPr>
        <w:t>(</w:t>
      </w:r>
      <w:r w:rsidR="0035214C" w:rsidRPr="00D353AA">
        <w:rPr>
          <w:rFonts w:ascii="Times New Roman" w:hAnsi="Times New Roman" w:cs="Times New Roman"/>
          <w:i/>
          <w:sz w:val="24"/>
          <w:lang w:val="en-US"/>
        </w:rPr>
        <w:t>R</w:t>
      </w:r>
      <w:r w:rsidR="0035214C" w:rsidRPr="0035214C">
        <w:rPr>
          <w:rFonts w:ascii="Times New Roman" w:hAnsi="Times New Roman" w:cs="Times New Roman"/>
          <w:i/>
          <w:sz w:val="24"/>
          <w:vertAlign w:val="superscript"/>
          <w:lang w:val="en-US"/>
        </w:rPr>
        <w:t>2</w:t>
      </w:r>
      <w:r w:rsidR="0035214C" w:rsidRPr="00D353AA">
        <w:rPr>
          <w:rFonts w:ascii="Times New Roman" w:hAnsi="Times New Roman" w:cs="Times New Roman"/>
          <w:sz w:val="24"/>
          <w:lang w:val="en-US"/>
        </w:rPr>
        <w:t>)</w:t>
      </w:r>
      <w:r w:rsidR="0035214C">
        <w:rPr>
          <w:rFonts w:ascii="Times New Roman" w:hAnsi="Times New Roman" w:cs="Times New Roman"/>
          <w:sz w:val="24"/>
          <w:lang w:val="en-US"/>
        </w:rPr>
        <w:t xml:space="preserve"> based on pairwise Pearson's correlations,</w:t>
      </w:r>
      <w:r w:rsidR="00E207B5">
        <w:rPr>
          <w:rFonts w:ascii="Times New Roman" w:hAnsi="Times New Roman" w:cs="Times New Roman"/>
          <w:sz w:val="24"/>
          <w:lang w:val="en-US"/>
        </w:rPr>
        <w:t xml:space="preserve"> and </w:t>
      </w:r>
      <w:r w:rsidR="00081675">
        <w:rPr>
          <w:rFonts w:ascii="Times New Roman" w:hAnsi="Times New Roman" w:cs="Times New Roman"/>
          <w:i/>
          <w:sz w:val="24"/>
          <w:lang w:val="en-US"/>
        </w:rPr>
        <w:t>p</w:t>
      </w:r>
      <w:r w:rsidR="00E207B5">
        <w:rPr>
          <w:rFonts w:ascii="Times New Roman" w:hAnsi="Times New Roman" w:cs="Times New Roman"/>
          <w:sz w:val="24"/>
          <w:lang w:val="en-US"/>
        </w:rPr>
        <w:t>-value</w:t>
      </w:r>
      <w:r w:rsidR="0035214C">
        <w:rPr>
          <w:rFonts w:ascii="Times New Roman" w:hAnsi="Times New Roman" w:cs="Times New Roman"/>
          <w:sz w:val="24"/>
          <w:lang w:val="en-US"/>
        </w:rPr>
        <w:t>s</w:t>
      </w:r>
      <w:r w:rsidR="00E207B5">
        <w:rPr>
          <w:rFonts w:ascii="Times New Roman" w:hAnsi="Times New Roman" w:cs="Times New Roman"/>
          <w:sz w:val="24"/>
          <w:lang w:val="en-US"/>
        </w:rPr>
        <w:t xml:space="preserve"> are shown in the figures</w:t>
      </w:r>
    </w:p>
    <w:p w:rsidR="00081675" w:rsidRDefault="00081675" w:rsidP="000B0E0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81675" w:rsidRPr="00574C42" w:rsidRDefault="00081675" w:rsidP="0008167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574C42"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3319C1" w:rsidRDefault="003319C1" w:rsidP="00F003A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Evanno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 xml:space="preserve">, G., </w:t>
      </w: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Regnaut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 xml:space="preserve">, S., &amp; </w:t>
      </w: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Goudet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>, J. (2005). Detecting the number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>clusters of individuals using the software STRUCTURE: A simulation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 xml:space="preserve">study. </w:t>
      </w:r>
      <w:r w:rsidRPr="00F003A0">
        <w:rPr>
          <w:rFonts w:ascii="Times New Roman" w:hAnsi="Times New Roman" w:cs="Times New Roman"/>
          <w:i/>
          <w:sz w:val="24"/>
          <w:lang w:val="en-US"/>
        </w:rPr>
        <w:t>Molecular Ecology</w:t>
      </w:r>
      <w:r w:rsidRPr="003319C1">
        <w:rPr>
          <w:rFonts w:ascii="Times New Roman" w:hAnsi="Times New Roman" w:cs="Times New Roman"/>
          <w:sz w:val="24"/>
          <w:lang w:val="en-US"/>
        </w:rPr>
        <w:t>, 14, 2611–2620.</w:t>
      </w:r>
    </w:p>
    <w:p w:rsidR="003319C1" w:rsidRDefault="003319C1" w:rsidP="00F003A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Nei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>, M. (1978). Estimation of average heterozygosity and genetic distance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 xml:space="preserve">from a small number of individuals. </w:t>
      </w:r>
      <w:r w:rsidRPr="00F003A0">
        <w:rPr>
          <w:rFonts w:ascii="Times New Roman" w:hAnsi="Times New Roman" w:cs="Times New Roman"/>
          <w:i/>
          <w:sz w:val="24"/>
          <w:lang w:val="en-US"/>
        </w:rPr>
        <w:t>Genetics</w:t>
      </w:r>
      <w:r w:rsidRPr="003319C1">
        <w:rPr>
          <w:rFonts w:ascii="Times New Roman" w:hAnsi="Times New Roman" w:cs="Times New Roman"/>
          <w:sz w:val="24"/>
          <w:lang w:val="en-US"/>
        </w:rPr>
        <w:t>, 89, 583–590.</w:t>
      </w:r>
    </w:p>
    <w:p w:rsidR="003319C1" w:rsidRDefault="003319C1" w:rsidP="00F003A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3319C1">
        <w:rPr>
          <w:rFonts w:ascii="Times New Roman" w:hAnsi="Times New Roman" w:cs="Times New Roman"/>
          <w:sz w:val="24"/>
          <w:lang w:val="en-US"/>
        </w:rPr>
        <w:t xml:space="preserve">Shriver, M. D., Jin, L., </w:t>
      </w: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Boerwinkle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 xml:space="preserve">, E., </w:t>
      </w: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Deka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>, R., Ferrell, R. E., &amp; Chakraborty,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>R. (1995). A novel measure of genetic distance for highly polymorphic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 xml:space="preserve">tandem repeat loci. </w:t>
      </w:r>
      <w:r w:rsidRPr="00F003A0">
        <w:rPr>
          <w:rFonts w:ascii="Times New Roman" w:hAnsi="Times New Roman" w:cs="Times New Roman"/>
          <w:i/>
          <w:sz w:val="24"/>
          <w:lang w:val="en-US"/>
        </w:rPr>
        <w:t>Molecular Biology and Evolution</w:t>
      </w:r>
      <w:r w:rsidRPr="003319C1">
        <w:rPr>
          <w:rFonts w:ascii="Times New Roman" w:hAnsi="Times New Roman" w:cs="Times New Roman"/>
          <w:sz w:val="24"/>
          <w:lang w:val="en-US"/>
        </w:rPr>
        <w:t>, 12, 914–920.</w:t>
      </w:r>
    </w:p>
    <w:p w:rsidR="00081675" w:rsidRPr="00483B07" w:rsidRDefault="003319C1" w:rsidP="00F003A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319C1">
        <w:rPr>
          <w:rFonts w:ascii="Times New Roman" w:hAnsi="Times New Roman" w:cs="Times New Roman"/>
          <w:sz w:val="24"/>
          <w:lang w:val="en-US"/>
        </w:rPr>
        <w:t xml:space="preserve">Weir, B. S., &amp; </w:t>
      </w:r>
      <w:proofErr w:type="spellStart"/>
      <w:r w:rsidRPr="003319C1">
        <w:rPr>
          <w:rFonts w:ascii="Times New Roman" w:hAnsi="Times New Roman" w:cs="Times New Roman"/>
          <w:sz w:val="24"/>
          <w:lang w:val="en-US"/>
        </w:rPr>
        <w:t>Cockerham</w:t>
      </w:r>
      <w:proofErr w:type="spellEnd"/>
      <w:r w:rsidRPr="003319C1">
        <w:rPr>
          <w:rFonts w:ascii="Times New Roman" w:hAnsi="Times New Roman" w:cs="Times New Roman"/>
          <w:sz w:val="24"/>
          <w:lang w:val="en-US"/>
        </w:rPr>
        <w:t xml:space="preserve">, C. C. (1984). Estimating </w:t>
      </w:r>
      <w:r w:rsidRPr="00F003A0">
        <w:rPr>
          <w:rFonts w:ascii="Times New Roman" w:hAnsi="Times New Roman" w:cs="Times New Roman"/>
          <w:i/>
          <w:sz w:val="24"/>
          <w:lang w:val="en-US"/>
        </w:rPr>
        <w:t>F</w:t>
      </w:r>
      <w:r w:rsidRPr="003319C1">
        <w:rPr>
          <w:rFonts w:ascii="Times New Roman" w:hAnsi="Times New Roman" w:cs="Times New Roman"/>
          <w:sz w:val="24"/>
          <w:lang w:val="en-US"/>
        </w:rPr>
        <w:t>-statistics for the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319C1">
        <w:rPr>
          <w:rFonts w:ascii="Times New Roman" w:hAnsi="Times New Roman" w:cs="Times New Roman"/>
          <w:sz w:val="24"/>
          <w:lang w:val="en-US"/>
        </w:rPr>
        <w:t xml:space="preserve">analysis of population structure. </w:t>
      </w:r>
      <w:r w:rsidRPr="00F003A0">
        <w:rPr>
          <w:rFonts w:ascii="Times New Roman" w:hAnsi="Times New Roman" w:cs="Times New Roman"/>
          <w:i/>
          <w:sz w:val="24"/>
          <w:lang w:val="en-US"/>
        </w:rPr>
        <w:t>Evolution</w:t>
      </w:r>
      <w:r w:rsidRPr="003319C1">
        <w:rPr>
          <w:rFonts w:ascii="Times New Roman" w:hAnsi="Times New Roman" w:cs="Times New Roman"/>
          <w:sz w:val="24"/>
          <w:lang w:val="en-US"/>
        </w:rPr>
        <w:t>, 38, 1358–1370.</w:t>
      </w:r>
    </w:p>
    <w:sectPr w:rsidR="00081675" w:rsidRPr="00483B07" w:rsidSect="000B0E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4" w:rsidRDefault="006D7F34" w:rsidP="00840921">
      <w:pPr>
        <w:spacing w:after="0" w:line="240" w:lineRule="auto"/>
      </w:pPr>
      <w:r>
        <w:separator/>
      </w:r>
    </w:p>
  </w:endnote>
  <w:endnote w:type="continuationSeparator" w:id="0">
    <w:p w:rsidR="006D7F34" w:rsidRDefault="006D7F34" w:rsidP="008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4" w:rsidRDefault="006D7F34" w:rsidP="00840921">
      <w:pPr>
        <w:spacing w:after="0" w:line="240" w:lineRule="auto"/>
      </w:pPr>
      <w:r>
        <w:separator/>
      </w:r>
    </w:p>
  </w:footnote>
  <w:footnote w:type="continuationSeparator" w:id="0">
    <w:p w:rsidR="006D7F34" w:rsidRDefault="006D7F34" w:rsidP="008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5" w:rsidRPr="0035214C" w:rsidRDefault="00081675" w:rsidP="0035214C">
    <w:pPr>
      <w:pStyle w:val="Cabealho"/>
      <w:jc w:val="center"/>
      <w:rPr>
        <w:i/>
        <w:lang w:val="en-US"/>
      </w:rPr>
    </w:pPr>
    <w:r w:rsidRPr="0035214C">
      <w:rPr>
        <w:rFonts w:ascii="Times New Roman" w:hAnsi="Times New Roman" w:cs="Times New Roman"/>
        <w:i/>
        <w:sz w:val="24"/>
        <w:lang w:val="en-US"/>
      </w:rPr>
      <w:t>Isolation by environment in seabirds</w:t>
    </w:r>
  </w:p>
  <w:p w:rsidR="00081675" w:rsidRPr="0035214C" w:rsidRDefault="0008167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03"/>
    <w:rsid w:val="00055CAE"/>
    <w:rsid w:val="000672B3"/>
    <w:rsid w:val="00081675"/>
    <w:rsid w:val="00083DC2"/>
    <w:rsid w:val="000B0E03"/>
    <w:rsid w:val="000C4D78"/>
    <w:rsid w:val="00180205"/>
    <w:rsid w:val="00215C57"/>
    <w:rsid w:val="00276C24"/>
    <w:rsid w:val="003319C1"/>
    <w:rsid w:val="00343F4B"/>
    <w:rsid w:val="0035214C"/>
    <w:rsid w:val="003558F6"/>
    <w:rsid w:val="00364457"/>
    <w:rsid w:val="003C4022"/>
    <w:rsid w:val="00483B07"/>
    <w:rsid w:val="004E6AEA"/>
    <w:rsid w:val="00502DD5"/>
    <w:rsid w:val="00526857"/>
    <w:rsid w:val="005A09E8"/>
    <w:rsid w:val="005C568A"/>
    <w:rsid w:val="005E384A"/>
    <w:rsid w:val="006D7F34"/>
    <w:rsid w:val="00731A53"/>
    <w:rsid w:val="00775A9D"/>
    <w:rsid w:val="00776C17"/>
    <w:rsid w:val="00816C5F"/>
    <w:rsid w:val="00840921"/>
    <w:rsid w:val="008555BF"/>
    <w:rsid w:val="00872602"/>
    <w:rsid w:val="00884A7E"/>
    <w:rsid w:val="008B24DD"/>
    <w:rsid w:val="0091063C"/>
    <w:rsid w:val="00957BA2"/>
    <w:rsid w:val="009E4841"/>
    <w:rsid w:val="009F020F"/>
    <w:rsid w:val="00AC48CE"/>
    <w:rsid w:val="00B57A7F"/>
    <w:rsid w:val="00BC1FF0"/>
    <w:rsid w:val="00C925F3"/>
    <w:rsid w:val="00D01424"/>
    <w:rsid w:val="00D72EE3"/>
    <w:rsid w:val="00E207B5"/>
    <w:rsid w:val="00E71414"/>
    <w:rsid w:val="00F003A0"/>
    <w:rsid w:val="00F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02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E3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8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8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8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84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4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921"/>
  </w:style>
  <w:style w:type="paragraph" w:styleId="Rodap">
    <w:name w:val="footer"/>
    <w:basedOn w:val="Normal"/>
    <w:link w:val="RodapChar"/>
    <w:uiPriority w:val="99"/>
    <w:unhideWhenUsed/>
    <w:rsid w:val="0084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02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E3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8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8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8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84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4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921"/>
  </w:style>
  <w:style w:type="paragraph" w:styleId="Rodap">
    <w:name w:val="footer"/>
    <w:basedOn w:val="Normal"/>
    <w:link w:val="RodapChar"/>
    <w:uiPriority w:val="99"/>
    <w:unhideWhenUsed/>
    <w:rsid w:val="0084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9257-0FB3-46E4-8329-DA207303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Tavares Nunes</dc:creator>
  <cp:lastModifiedBy>Leandro</cp:lastModifiedBy>
  <cp:revision>2</cp:revision>
  <cp:lastPrinted>2017-11-17T11:12:00Z</cp:lastPrinted>
  <dcterms:created xsi:type="dcterms:W3CDTF">2017-12-15T15:59:00Z</dcterms:created>
  <dcterms:modified xsi:type="dcterms:W3CDTF">2017-12-15T15:59:00Z</dcterms:modified>
</cp:coreProperties>
</file>