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65A" w:rsidRPr="00AC6A56" w:rsidRDefault="00C8265A" w:rsidP="00AC6A56">
      <w:pPr>
        <w:spacing w:line="240" w:lineRule="auto"/>
        <w:rPr>
          <w:rFonts w:cstheme="minorHAnsi"/>
          <w:b/>
          <w:sz w:val="28"/>
          <w:szCs w:val="28"/>
          <w:u w:val="single"/>
          <w:lang w:val="en-US"/>
        </w:rPr>
      </w:pPr>
      <w:bookmarkStart w:id="0" w:name="_GoBack"/>
      <w:bookmarkEnd w:id="0"/>
      <w:r w:rsidRPr="00AC6A56">
        <w:rPr>
          <w:rFonts w:cstheme="minorHAnsi"/>
          <w:b/>
          <w:sz w:val="28"/>
          <w:szCs w:val="28"/>
          <w:u w:val="single"/>
          <w:lang w:val="en-US"/>
        </w:rPr>
        <w:t>SUPPORTING INFORMATION</w:t>
      </w:r>
    </w:p>
    <w:p w:rsidR="00C8265A" w:rsidRPr="00AC6A56" w:rsidRDefault="00C8265A" w:rsidP="00AC6A56">
      <w:pPr>
        <w:spacing w:line="240" w:lineRule="auto"/>
        <w:rPr>
          <w:rFonts w:cstheme="minorHAnsi"/>
          <w:b/>
          <w:sz w:val="28"/>
          <w:szCs w:val="28"/>
          <w:u w:val="single"/>
          <w:lang w:val="en-US"/>
        </w:rPr>
      </w:pPr>
      <w:r w:rsidRPr="00AC6A56">
        <w:rPr>
          <w:rFonts w:cstheme="minorHAnsi"/>
          <w:b/>
          <w:sz w:val="28"/>
          <w:szCs w:val="28"/>
          <w:u w:val="single"/>
          <w:lang w:val="en-US"/>
        </w:rPr>
        <w:t>Appendix S1</w:t>
      </w:r>
    </w:p>
    <w:p w:rsidR="00C8265A" w:rsidRPr="00AC6A56" w:rsidRDefault="00C8265A" w:rsidP="00AC6A56">
      <w:pPr>
        <w:spacing w:line="240" w:lineRule="auto"/>
        <w:rPr>
          <w:rFonts w:cstheme="minorHAnsi"/>
          <w:b/>
          <w:sz w:val="28"/>
          <w:szCs w:val="28"/>
          <w:u w:val="single"/>
          <w:lang w:val="en-US"/>
        </w:rPr>
      </w:pPr>
      <w:r w:rsidRPr="00AC6A56">
        <w:rPr>
          <w:rFonts w:cstheme="minorHAnsi"/>
          <w:b/>
          <w:sz w:val="28"/>
          <w:szCs w:val="28"/>
        </w:rPr>
        <w:t>A framework for mapping the distribution seabirds by integrating tracking, demography and phenology</w:t>
      </w:r>
    </w:p>
    <w:p w:rsidR="0047604A" w:rsidRPr="00AC6A56" w:rsidRDefault="0047604A" w:rsidP="00AC6A56">
      <w:pPr>
        <w:spacing w:line="240" w:lineRule="auto"/>
        <w:rPr>
          <w:rFonts w:cstheme="minorHAnsi"/>
        </w:rPr>
      </w:pPr>
      <w:r w:rsidRPr="00AC6A56">
        <w:rPr>
          <w:rFonts w:cstheme="minorHAnsi"/>
        </w:rPr>
        <w:t xml:space="preserve">More details can be found at </w:t>
      </w:r>
      <w:hyperlink r:id="rId5" w:history="1">
        <w:r w:rsidR="00AC6A56" w:rsidRPr="00AC6A56">
          <w:rPr>
            <w:rStyle w:val="Hyperlink"/>
            <w:rFonts w:cstheme="minorHAnsi"/>
          </w:rPr>
          <w:t>https://github.com/anacarneiro/DensityMaps</w:t>
        </w:r>
      </w:hyperlink>
    </w:p>
    <w:p w:rsidR="006F5D59" w:rsidRPr="00AC6A56" w:rsidRDefault="006F5D59" w:rsidP="00AC6A56">
      <w:pPr>
        <w:spacing w:before="120" w:after="120" w:line="240" w:lineRule="auto"/>
        <w:rPr>
          <w:rFonts w:cstheme="minorHAnsi"/>
          <w:b/>
          <w:color w:val="000000"/>
        </w:rPr>
      </w:pPr>
    </w:p>
    <w:p w:rsidR="006F5D59" w:rsidRPr="00AC6A56" w:rsidRDefault="006F5D59" w:rsidP="00AC6A56">
      <w:pPr>
        <w:spacing w:before="120" w:after="120" w:line="240" w:lineRule="auto"/>
        <w:rPr>
          <w:rFonts w:cstheme="minorHAnsi"/>
          <w:i/>
          <w:color w:val="000000"/>
        </w:rPr>
      </w:pPr>
      <w:r w:rsidRPr="00AC6A56">
        <w:rPr>
          <w:rFonts w:cstheme="minorHAnsi"/>
          <w:i/>
          <w:color w:val="000000"/>
        </w:rPr>
        <w:t>Study species</w:t>
      </w:r>
    </w:p>
    <w:p w:rsidR="00E56798" w:rsidRPr="00AC6A56" w:rsidRDefault="006F5D59" w:rsidP="00AC6A56">
      <w:pPr>
        <w:spacing w:before="120" w:after="120" w:line="240" w:lineRule="auto"/>
        <w:rPr>
          <w:rFonts w:cstheme="minorHAnsi"/>
        </w:rPr>
      </w:pPr>
      <w:r w:rsidRPr="00AC6A56">
        <w:rPr>
          <w:rFonts w:cstheme="minorHAnsi"/>
        </w:rPr>
        <w:t xml:space="preserve">We apply this framework to 22 of the species listed under the Agreement for the Conservation of Albatrosses and Petrels (ACAP, see </w:t>
      </w:r>
      <w:hyperlink r:id="rId6" w:history="1">
        <w:r w:rsidRPr="00AC6A56">
          <w:rPr>
            <w:rStyle w:val="Hyperlink"/>
            <w:rFonts w:cstheme="minorHAnsi"/>
          </w:rPr>
          <w:t>https://www.acap.aq/en/acap-species</w:t>
        </w:r>
      </w:hyperlink>
      <w:r w:rsidRPr="00AC6A56">
        <w:rPr>
          <w:rFonts w:cstheme="minorHAnsi"/>
        </w:rPr>
        <w:t xml:space="preserve"> for a complete list). These species represent iconic megafauna that have an important role in ecosystem functioning </w:t>
      </w:r>
      <w:r w:rsidRPr="00AC6A56">
        <w:rPr>
          <w:rFonts w:cstheme="minorHAnsi"/>
        </w:rPr>
        <w:fldChar w:fldCharType="begin"/>
      </w:r>
      <w:r w:rsidRPr="00AC6A56">
        <w:rPr>
          <w:rFonts w:cstheme="minorHAnsi"/>
        </w:rPr>
        <w:instrText xml:space="preserve"> ADDIN ZOTERO_ITEM CSL_CITATION {"citationID":"1ivtd0e0l","properties":{"formattedCitation":"(Lewison et al., 2014)","plainCitation":"(Lewison et al., 2014)","noteIndex":0},"citationItems":[{"id":62,"uris":["http://zotero.org/users/5862115/items/38TP9HU4"],"uri":["http://zotero.org/users/5862115/items/38TP9HU4"],"itemData":{"id":62,"type":"article-journal","title":"Global patterns of marine mammal, seabird, and sea turtle bycatch reveal taxa-specific and cumulative megafauna hotspots","container-title":"Proceedings of the National Academy of Sciences","page":"5271-5276","volume":"111","issue":"14","source":"www.pnas.org","abstract":"Recent research on ocean health has found large predator abundance to be a key element of ocean condition. Fisheries can impact large predator abundance directly through targeted capture and indirectly through incidental capture of nontarget species or bycatch. However, measures of the global nature of bycatch are lacking for air-breathing megafauna. We fill this knowledge gap and present a synoptic global assessment of the distribution and intensity of bycatch of seabirds, marine mammals, and sea turtles based on empirical data from the three most commonly used types of fishing gears worldwide. We identify taxa-specific hotspots of bycatch intensity and find evidence of cumulative impacts across fishing fleets and gears. This global map of bycatch illustrates where data are particularly scarce—in coastal and small-scale fisheries and ocean regions that support developed industrial fisheries and millions of small-scale fishers—and identifies fishing areas where, given the evidence of cumulative hotspots across gear and taxa, traditional species or gear-specific bycatch management and mitigation efforts may be necessary but not sufficient. Given the global distribution of bycatch and the mitigation success achieved by some fleets, the reduction of air-breathing megafauna bycatch is both an urgent and achievable conservation priority.","DOI":"10.1073/pnas.1318960111","ISSN":"0027-8424, 1091-6490","note":"PMID: 24639512","journalAbbreviation":"PNAS","language":"en","author":[{"family":"Lewison","given":"Rebecca L."},{"family":"Crowder","given":"Larry B."},{"family":"Wallace","given":"Bryan P."},{"family":"Moore","given":"Jeffrey E."},{"family":"Cox","given":"Tara"},{"family":"Zydelis","given":"Ramunas"},{"family":"McDonald","given":"Sara"},{"family":"DiMatteo","given":"Andrew"},{"family":"Dunn","given":"Daniel C."},{"family":"Kot","given":"Connie Y."},{"family":"Bjorkland","given":"Rhema"},{"family":"Kelez","given":"Shaleyla"},{"family":"Soykan","given":"Candan"},{"family":"Stewart","given":"Kelly R."},{"family":"Sims","given":"Michelle"},{"family":"Boustany","given":"Andre"},{"family":"Read","given":"Andrew J."},{"family":"Halpin","given":"Patrick"},{"family":"Nichols","given":"W. J."},{"family":"Safina","given":"Carl"}],"issued":{"date-parts":[["2014",4,8]]}}}],"schema":"https://github.com/citation-style-language/schema/raw/master/csl-citation.json"} </w:instrText>
      </w:r>
      <w:r w:rsidRPr="00AC6A56">
        <w:rPr>
          <w:rFonts w:cstheme="minorHAnsi"/>
        </w:rPr>
        <w:fldChar w:fldCharType="separate"/>
      </w:r>
      <w:r w:rsidRPr="00AC6A56">
        <w:rPr>
          <w:rFonts w:cstheme="minorHAnsi"/>
        </w:rPr>
        <w:t>(Lewison et al., 2014)</w:t>
      </w:r>
      <w:r w:rsidRPr="00AC6A56">
        <w:rPr>
          <w:rFonts w:cstheme="minorHAnsi"/>
        </w:rPr>
        <w:fldChar w:fldCharType="end"/>
      </w:r>
      <w:r w:rsidRPr="00AC6A56">
        <w:rPr>
          <w:rFonts w:cstheme="minorHAnsi"/>
        </w:rPr>
        <w:t xml:space="preserve">, and are of global conservation concern due to interactions with fisheries </w:t>
      </w:r>
      <w:r w:rsidRPr="00AC6A56">
        <w:rPr>
          <w:rFonts w:cstheme="minorHAnsi"/>
        </w:rPr>
        <w:fldChar w:fldCharType="begin"/>
      </w:r>
      <w:r w:rsidRPr="00AC6A56">
        <w:rPr>
          <w:rFonts w:cstheme="minorHAnsi"/>
        </w:rPr>
        <w:instrText xml:space="preserve"> ADDIN ZOTERO_ITEM CSL_CITATION {"citationID":"sLuO3Eoj","properties":{"formattedCitation":"(Dias et al., 2019; Phillips et al., 2016)","plainCitation":"(Dias et al., 2019; Phillips et al., 2016)","noteIndex":0},"citationItems":[{"id":736,"uris":["http://zotero.org/users/5862115/items/6ZSHK6CQ"],"uri":["http://zotero.org/users/5862115/items/6ZSHK6CQ"],"itemData":{"id":736,"type":"article-journal","title":"Threats to seabirds: A global assessment","container-title":"Biological Conservation","source":"ScienceDirect","abstract":"We present the first objective quantitative assessment of the threats to all 359 species of seabirds, identify the main challenges facing them, and outline priority actions for their conservation. We applied the standardised Threats Classification Scheme developed for the IUCN Red List to objectively assess threats to each species and analysed the data according to global IUCN threat status, taxonomic group, and primary foraging habitat (coastal or pelagic). The top three threats to seabirds in terms of number of species affected and average impact are: invasive alien species, affecting 165 species across all the most threatened groups; bycatch in fisheries, affecting fewer species (100) but with the greatest average impact; and climate change/severe weather, affecting 96 species. Overfishing, hunting/trapping and disturbance were also identified as major threats to seabirds. Reversing the top three threats alone would benefit two-thirds of all species and c. 380 million individual seabirds (c. 45% of the total global seabird population). Most seabirds (c. 70%), especially globally threatened species, face multiple threats. For albatrosses, petrels and penguins in particular (the three most threatened groups of seabirds), it is essential to tackle both terrestrial and marine threats to reverse declines. As the negative effects of climate change are harder to mitigate, it is vital to compensate by addressing other major threats that often affect the same species, such as invasive alien species, bycatch and overfishing, for which proven solutions exist.","URL":"http://www.sciencedirect.com/science/article/pii/S0006320719307499","DOI":"10.1016/j.biocon.2019.06.033","ISSN":"0006-3207","title-short":"Threats to seabirds","journalAbbreviation":"Biological Conservation","author":[{"family":"Dias","given":"Maria P."},{"family":"Martin","given":"Rob"},{"family":"Pearmain","given":"Elizabeth J."},{"family":"Burfield","given":"Ian J."},{"family":"Small","given":"Cleo"},{"family":"Phillips","given":"Richard A."},{"family":"Yates","given":"Oliver"},{"family":"Lascelles","given":"Ben"},{"family":"Borboroglu","given":"Pablo Garcia"},{"family":"Croxall","given":"John P."}],"issued":{"date-parts":[["2019",8,8]]},"accessed":{"date-parts":[["2019",8,29]]}}},{"id":86,"uris":["http://zotero.org/users/5862115/items/FWJSCA46"],"uri":["http://zotero.org/users/5862115/items/FWJSCA46"],"itemData":{"id":86,"type":"article-journal","title":"The conservation status and priorities for albatrosses and large petrels","container-title":"Biological Conservation","page":"169-183","volume":"201","source":"ScienceDirect","abstract":"Seabirds are amongst the most globally-threatened of all groups of birds, and conservation issues specific to albatrosses (Diomedeidae) and large petrels (Procellaria spp. and giant petrels Macronectes spp.) led to drafting of the multi-lateral Agreement on the Conservation of Albatrosses and Petrels (ACAP). Here we review the taxonomy, breeding and foraging distributions, population status and trends, threats and priorities for the 29 species covered by ACAP. Nineteen (66%) are listed as threatened by IUCN, and 11 (38%) are declining. Most have extensive at-sea distributions, and the greatest threat is incidental mortality (bycatch) in industrial pelagic or demersal longline, trawl or artisanal fisheries, often in both national and international waters. Mitigation measures are available that reduce bycatch in most types of fisheries, but some management bodies are yet to make these mandatory, levels of implementation and monitoring of compliance are often inadequate, and there are insufficient observer programmes collecting robust data on bycatch rates. Intentional take, pollution (including plastic ingestion), and threats at colonies affect fewer species than bycatch; however, the impacts of disease (mainly avian cholera) and of predation by introduced species, including feral cats (Felis catus), rats (Rattus spp.) and house mice (Mus musculus), are severe for some breeding populations. Although major progress has been made in recent years in reducing bycatch rates and in controlling or eradicating pests at breeding sites, unless conservation efforts are intensified, the future prospects of many species of albatrosses and large petrels will remain bleak.","DOI":"10.1016/j.biocon.2016.06.017","ISSN":"0006-3207","journalAbbreviation":"Biological Conservation","author":[{"family":"Phillips","given":"R. A."},{"family":"Gales","given":"R."},{"family":"Baker","given":"G. B."},{"family":"Double","given":"M. C."},{"family":"Favero","given":"M."},{"family":"Quintana","given":"F."},{"family":"Tasker","given":"M. L."},{"family":"Weimerskirch","given":"H."},{"family":"Uhart","given":"M."},{"family":"Wolfaardt","given":"A."}],"issued":{"date-parts":[["2016",9,1]]}}}],"schema":"https://github.com/citation-style-language/schema/raw/master/csl-citation.json"} </w:instrText>
      </w:r>
      <w:r w:rsidRPr="00AC6A56">
        <w:rPr>
          <w:rFonts w:cstheme="minorHAnsi"/>
        </w:rPr>
        <w:fldChar w:fldCharType="separate"/>
      </w:r>
      <w:r w:rsidRPr="00AC6A56">
        <w:rPr>
          <w:rFonts w:cstheme="minorHAnsi"/>
        </w:rPr>
        <w:t>(Dias et al., 2019; Phillips et al., 2016)</w:t>
      </w:r>
      <w:r w:rsidRPr="00AC6A56">
        <w:rPr>
          <w:rFonts w:cstheme="minorHAnsi"/>
        </w:rPr>
        <w:fldChar w:fldCharType="end"/>
      </w:r>
      <w:r w:rsidRPr="00AC6A56">
        <w:rPr>
          <w:rFonts w:cstheme="minorHAnsi"/>
        </w:rPr>
        <w:t xml:space="preserve">. Currently, 21 of the 31 species listed under ACAP are threatened with extinction </w:t>
      </w:r>
      <w:r w:rsidRPr="00AC6A56">
        <w:rPr>
          <w:rFonts w:cstheme="minorHAnsi"/>
        </w:rPr>
        <w:fldChar w:fldCharType="begin"/>
      </w:r>
      <w:r w:rsidRPr="00AC6A56">
        <w:rPr>
          <w:rFonts w:cstheme="minorHAnsi"/>
        </w:rPr>
        <w:instrText xml:space="preserve"> ADDIN ZOTERO_ITEM CSL_CITATION {"citationID":"18p68k6jl6","properties":{"formattedCitation":"(BirdLife International, 2018)","plainCitation":"(BirdLife International, 2018)","noteIndex":0},"citationItems":[{"id":313,"uris":["http://zotero.org/users/5862115/items/WWVR2ED9"],"uri":["http://zotero.org/users/5862115/items/WWVR2ED9"],"itemData":{"id":313,"type":"article","title":"IUCN Red List for birds.","URL":"http://www.birdlife.org","author":[{"family":"BirdLife International","given":""}],"issued":{"date-parts":[["2018"]]}}}],"schema":"https://github.com/citation-style-language/schema/raw/master/csl-citation.json"} </w:instrText>
      </w:r>
      <w:r w:rsidRPr="00AC6A56">
        <w:rPr>
          <w:rFonts w:cstheme="minorHAnsi"/>
        </w:rPr>
        <w:fldChar w:fldCharType="separate"/>
      </w:r>
      <w:r w:rsidRPr="00AC6A56">
        <w:rPr>
          <w:rFonts w:cstheme="minorHAnsi"/>
        </w:rPr>
        <w:t>(BirdLife International, 2018)</w:t>
      </w:r>
      <w:r w:rsidRPr="00AC6A56">
        <w:rPr>
          <w:rFonts w:cstheme="minorHAnsi"/>
        </w:rPr>
        <w:fldChar w:fldCharType="end"/>
      </w:r>
      <w:r w:rsidRPr="00AC6A56">
        <w:rPr>
          <w:rFonts w:cstheme="minorHAnsi"/>
        </w:rPr>
        <w:t>, emphasizing the need to map their at-sea distributions. We considered all ACAP species that breed in the Southern Ocean, except for the pink-footed shearwater (</w:t>
      </w:r>
      <w:r w:rsidRPr="00AC6A56">
        <w:rPr>
          <w:rFonts w:cstheme="minorHAnsi"/>
          <w:i/>
        </w:rPr>
        <w:t>Ardenna creatopus</w:t>
      </w:r>
      <w:r w:rsidRPr="00AC6A56">
        <w:rPr>
          <w:rFonts w:cstheme="minorHAnsi"/>
        </w:rPr>
        <w:t>), southern royal (</w:t>
      </w:r>
      <w:r w:rsidRPr="00AC6A56">
        <w:rPr>
          <w:rFonts w:eastAsia="Times New Roman" w:cstheme="minorHAnsi"/>
          <w:i/>
          <w:lang w:eastAsia="en-GB"/>
        </w:rPr>
        <w:t>Diomedea epomophora</w:t>
      </w:r>
      <w:r w:rsidRPr="00AC6A56">
        <w:rPr>
          <w:rFonts w:cstheme="minorHAnsi"/>
        </w:rPr>
        <w:t>), Campbell (</w:t>
      </w:r>
      <w:r w:rsidRPr="00AC6A56">
        <w:rPr>
          <w:rFonts w:eastAsia="Times New Roman" w:cstheme="minorHAnsi"/>
          <w:i/>
          <w:lang w:eastAsia="en-GB"/>
        </w:rPr>
        <w:t>Thalassarche impavida</w:t>
      </w:r>
      <w:r w:rsidRPr="00AC6A56">
        <w:rPr>
          <w:rFonts w:cstheme="minorHAnsi"/>
        </w:rPr>
        <w:t>) and shy (</w:t>
      </w:r>
      <w:r w:rsidRPr="00AC6A56">
        <w:rPr>
          <w:rFonts w:eastAsia="Times New Roman" w:cstheme="minorHAnsi"/>
          <w:i/>
          <w:lang w:eastAsia="en-GB"/>
        </w:rPr>
        <w:t>T. cauta</w:t>
      </w:r>
      <w:r w:rsidRPr="00AC6A56">
        <w:rPr>
          <w:rFonts w:cstheme="minorHAnsi"/>
        </w:rPr>
        <w:t>) albatrosses for which insufficient tracking data were available in the Seabird Tracking Database (</w:t>
      </w:r>
      <w:hyperlink r:id="rId7" w:history="1">
        <w:r w:rsidRPr="00AC6A56">
          <w:rPr>
            <w:rStyle w:val="Hyperlink"/>
            <w:rFonts w:cstheme="minorHAnsi"/>
          </w:rPr>
          <w:t>http://seabirdtracking.org/</w:t>
        </w:r>
      </w:hyperlink>
      <w:r w:rsidRPr="00AC6A56">
        <w:rPr>
          <w:rFonts w:cstheme="minorHAnsi"/>
        </w:rPr>
        <w:t>) to confidently map their distributions.</w:t>
      </w:r>
    </w:p>
    <w:p w:rsidR="00E56798" w:rsidRPr="00AC6A56" w:rsidRDefault="00E56798" w:rsidP="00AC6A56">
      <w:pPr>
        <w:spacing w:before="120" w:after="120" w:line="240" w:lineRule="auto"/>
        <w:rPr>
          <w:rFonts w:cstheme="minorHAnsi"/>
        </w:rPr>
      </w:pPr>
    </w:p>
    <w:p w:rsidR="00E56798" w:rsidRPr="00AC6A56" w:rsidRDefault="00E56798" w:rsidP="00AC6A56">
      <w:pPr>
        <w:spacing w:before="120" w:after="120" w:line="240" w:lineRule="auto"/>
        <w:rPr>
          <w:rFonts w:cstheme="minorHAnsi"/>
          <w:i/>
        </w:rPr>
      </w:pPr>
      <w:r w:rsidRPr="00AC6A56">
        <w:rPr>
          <w:rFonts w:cstheme="minorHAnsi"/>
          <w:i/>
        </w:rPr>
        <w:t>Tracking data compilation and standardisation</w:t>
      </w:r>
    </w:p>
    <w:p w:rsidR="0047604A" w:rsidRPr="00AC6A56" w:rsidRDefault="00E56798" w:rsidP="00AC6A56">
      <w:pPr>
        <w:spacing w:line="240" w:lineRule="auto"/>
        <w:rPr>
          <w:rFonts w:cstheme="minorHAnsi"/>
        </w:rPr>
      </w:pPr>
      <w:r w:rsidRPr="00AC6A56">
        <w:rPr>
          <w:rFonts w:cstheme="minorHAnsi"/>
        </w:rPr>
        <w:t xml:space="preserve">We compiled tracking data deposited in the Seabird Tracking Database </w:t>
      </w:r>
      <w:r w:rsidR="008974A5" w:rsidRPr="00AC6A56">
        <w:rPr>
          <w:rFonts w:cstheme="minorHAnsi"/>
        </w:rPr>
        <w:t xml:space="preserve">(http://seabirdtracking.org/) </w:t>
      </w:r>
      <w:r w:rsidRPr="00AC6A56">
        <w:rPr>
          <w:rFonts w:cstheme="minorHAnsi"/>
        </w:rPr>
        <w:t xml:space="preserve">for our 22 focal species, which includes data from the three most commonly used tracking devices: Global Positioning Systems (GPS), Platform Terminal Transmitters (PTT) and Global Location Sensors (GLS or geolocators). </w:t>
      </w:r>
      <w:r w:rsidR="0047604A" w:rsidRPr="00AC6A56">
        <w:rPr>
          <w:rFonts w:cstheme="minorHAnsi"/>
        </w:rPr>
        <w:t xml:space="preserve">A basic speed filter was applied for PTT data in order to remove erroneous positions with speeds &gt; 90 km/h </w:t>
      </w:r>
      <w:r w:rsidR="0047604A" w:rsidRPr="00AC6A56">
        <w:rPr>
          <w:rFonts w:cstheme="minorHAnsi"/>
        </w:rPr>
        <w:fldChar w:fldCharType="begin"/>
      </w:r>
      <w:r w:rsidR="0047604A" w:rsidRPr="00AC6A56">
        <w:rPr>
          <w:rFonts w:cstheme="minorHAnsi"/>
        </w:rPr>
        <w:instrText xml:space="preserve"> ADDIN ZOTERO_ITEM CSL_CITATION {"citationID":"1a48didljp","properties":{"formattedCitation":"(McConnell, Chambers, &amp; Fedak, 1992)","plainCitation":"(McConnell, Chambers, &amp; Fedak, 1992)","noteIndex":0},"citationItems":[{"id":308,"uris":["http://zotero.org/users/5862115/items/EMG6R9WJ"],"uri":["http://zotero.org/users/5862115/items/EMG6R9WJ"],"itemData":{"id":308,"type":"article-journal","title":"Foraging ecology of southern elephant seals in relation to the bathymetry and productivity of the Southern Ocean","container-title":"Antarctic Science","page":"393-398","volume":"4","issue":"4","source":"Cambridge Core","abstract":"Southern elephant seals (Mirounga leonina) are among the most proficient of mammalian divers and are a major component of the Antarctic food web. Yet little is known of their movements or interaction with their oceanic environment. Specially designed satellite-link data loggers allowed us to visualize the 3-D movements of elephant seals as they swam rapidly from South Georgia to distant (up to 2650 km) areas of Antarctic continental shelf. One seal dived continuously to the sea bed in one small area for a month, implying consumption of benthic prey. Dives here were shorter even though average swimming velocity was lower. It is suggested that the physiological requirements of feeding and digestion reduced the aerobic dive limit. Long distance travel to relocatable hydrographic or topographical features, such as shelf breaks, may allow large predators to locate prey more consistently than from mid-ocean searches.","DOI":"10.1017/S0954102092000580","ISSN":"1365-2079, 0954-1020","language":"en","author":[{"family":"McConnell","given":"B. J."},{"family":"Chambers","given":"C."},{"family":"Fedak","given":"M. A."}],"issued":{"date-parts":[["1992",12]]}}}],"schema":"https://github.com/citation-style-language/schema/raw/master/csl-citation.json"} </w:instrText>
      </w:r>
      <w:r w:rsidR="0047604A" w:rsidRPr="00AC6A56">
        <w:rPr>
          <w:rFonts w:cstheme="minorHAnsi"/>
        </w:rPr>
        <w:fldChar w:fldCharType="separate"/>
      </w:r>
      <w:r w:rsidR="0047604A" w:rsidRPr="00AC6A56">
        <w:rPr>
          <w:rFonts w:cstheme="minorHAnsi"/>
        </w:rPr>
        <w:t>(McConnell, Chambers, &amp; Fedak, 1992)</w:t>
      </w:r>
      <w:r w:rsidR="0047604A" w:rsidRPr="00AC6A56">
        <w:rPr>
          <w:rFonts w:cstheme="minorHAnsi"/>
        </w:rPr>
        <w:fldChar w:fldCharType="end"/>
      </w:r>
      <w:r w:rsidR="0047604A" w:rsidRPr="00AC6A56">
        <w:rPr>
          <w:rFonts w:cstheme="minorHAnsi"/>
        </w:rPr>
        <w:t xml:space="preserve">. GLS data are expected to be cleaned prior to uploading in the Seabird Tracking Database, not requiring additional cleaning. PTT and GPS data were linearly interpolated (i.e. rediscretization every hour) to obtain regular positions. Re-sampling was not conducted for GLS data since the locations of tracked birds collected using this type of device are available at regular intervals (approximately 12-hour). All positions within 5 km (for GPS data) and 15 km (for PTT data) of the colony were excluded. </w:t>
      </w:r>
    </w:p>
    <w:p w:rsidR="00E56798" w:rsidRPr="00AC6A56" w:rsidRDefault="00E56798" w:rsidP="00AC6A56">
      <w:pPr>
        <w:spacing w:line="240" w:lineRule="auto"/>
        <w:rPr>
          <w:rFonts w:cstheme="minorHAnsi"/>
        </w:rPr>
      </w:pPr>
      <w:r w:rsidRPr="00AC6A56">
        <w:rPr>
          <w:rFonts w:cstheme="minorHAnsi"/>
        </w:rPr>
        <w:t xml:space="preserve">All tracking data were split into data groups (by pooling all data for each combination of species, breeding site, device type, age class and stage of the annual cycle). The classification of tracking data into age and stage of the annual cycle followed the classification provided by data owners when uploading data into the Seabird Tracking Database, with the exception of adult non-breeding, juvenile and immature data. Adult non-breeding distribution data were further split into year quarters for analysis: quarter 1 (Q1, Jan–Mar), quarter 2 (Q2, Apr–Jun), quarter 3 (Q3, Jul–Sep) and quarter 4 (Q4, Oct–Dec); juvenile and immature data were split into summer (both Q4 and Q1) and winter (both Q2 and Q3) periods instead of year quarters to increase data coverage. We assumed that seabird distributions were largely consistent between years </w:t>
      </w:r>
      <w:r w:rsidRPr="00AC6A56">
        <w:rPr>
          <w:rFonts w:cstheme="minorHAnsi"/>
        </w:rPr>
        <w:fldChar w:fldCharType="begin"/>
      </w:r>
      <w:r w:rsidRPr="00AC6A56">
        <w:rPr>
          <w:rFonts w:cstheme="minorHAnsi"/>
        </w:rPr>
        <w:instrText xml:space="preserve"> ADDIN ZOTERO_ITEM CSL_CITATION {"citationID":"NVl8rBIf","properties":{"formattedCitation":"(Croxall, Silk, Phillips, Afanasyev, &amp; Briggs, 2005; Guilford et al., 2011; Phillips, Silk, Croxall, Afanasyev, &amp; Bennett, 2005)","plainCitation":"(Croxall, Silk, Phillips, Afanasyev, &amp; Briggs, 2005; Guilford et al., 2011; Phillips, Silk, Croxall, Afanasyev, &amp; Bennett, 2005)","noteIndex":0},"citationItems":[{"id":323,"uris":["http://zotero.org/users/5862115/items/54BNG9WD"],"uri":["http://zotero.org/users/5862115/items/54BNG9WD"],"itemData":{"id":323,"type":"article-journal","title":"Global circumnavigations: Tracking year-round ranges of nonbreeding albatrosses","container-title":"Science","page":"249-250","volume":"307","issue":"5707","source":"science.sciencemag.org","abstract":"Although albatrosses are paradigms of oceanic specialization, their foraging areas and migration routes when not breeding remain essentially unknown. Our continuous remote tracking of 22 adult gray-headed albatrosses for over 30 bird-years reveals three distinct strategies: (i) Stay in breeding home range; (ii) make return migrations to a specific area of the southwest Indian Ocean; and (iii) make one or more global circumnavigations (the fastest in just 46 days). The consistencies in patterns, routes, and timings offer the first hope of identifying areas of critical habitat for nonbreeding albatrosses, wherein appropriate management of longline fisheries might alleviate the plight of the world's most threatened family of birds.\nTracking of albatrosses shows that some circumnavigate the globe in less than two months, whereas others wander to the Indian Ocean or near their breeding area.\nTracking of albatrosses shows that some circumnavigate the globe in less than two months, whereas others wander to the Indian Ocean or near their breeding area.","DOI":"10.1126/science.1106042","ISSN":"0036-8075, 1095-9203","note":"PMID: 15653503","title-short":"Global Circumnavigations","language":"en","author":[{"family":"Croxall","given":"John P."},{"family":"Silk","given":"Janet R. D."},{"family":"Phillips","given":"R. A."},{"family":"Afanasyev","given":"Vsevolod"},{"family":"Briggs","given":"Dirk R."}],"issued":{"date-parts":[["2005",1,14]]}}},{"id":330,"uris":["http://zotero.org/users/5862115/items/ZNWFGAR8"],"uri":["http://zotero.org/users/5862115/items/ZNWFGAR8"],"itemData":{"id":330,"type":"article-journal","title":"A dispersive migration in the Atlantic puffin and its implications for migratory navigation","container-title":"PLOS ONE","page":"e21336","volume":"6","issue":"7","source":"PLoS Journals","abstract":"Navigational control of avian migration is understood, largely from the study of terrestrial birds, to depend on either genetically or culturally inherited information. By tracking the individual migrations of Atlantic Puffins, Fratercula arctica, in successive years using geolocators, we describe migratory behaviour in a pelagic seabird that is apparently incompatible with this view. Puffins do not migrate to a single overwintering area, but follow a dispersive pattern of movements changing through the non-breeding period, showing great variability in travel distances and directions. Despite this within-population variability, individuals show remarkable consistency in their own migratory routes among years. This combination of complex population dispersion and individual route fidelity cannot easily be accounted for in terms of genetic inheritance of compass instructions, or cultural inheritance of traditional routes. We suggest that a mechanism of individual exploration and acquired navigational memory may provide the dominant control over Puffin migration, and potentially some other pelagic seabirds, despite the apparently featureless nature of the ocean.","DOI":"10.1371/journal.pone.0021336","ISSN":"1932-6203","journalAbbreviation":"PLOS ONE","language":"en","author":[{"family":"Guilford","given":"Tim"},{"family":"Freeman","given":"Robin"},{"family":"Boyle","given":"Dave"},{"family":"Dean","given":"Ben"},{"family":"Kirk","given":"Holly"},{"family":"Phillips","given":"R. A."},{"family":"Perrins","given":"Chris"}],"issued":{"date-parts":[["2011",7,20]]}}},{"id":294,"uris":["http://zotero.org/users/5862115/items/T6497UV2"],"uri":["http://zotero.org/users/5862115/items/T6497UV2"],"itemData":{"id":294,"type":"article-journal","title":"Summer distribution and migration of nonbreeding albatrosses: Individual consistencies and implications for conservation","container-title":"Ecology","page":"2386-2396","volume":"86","issue":"9","source":"Wiley Online Library","abstract":"Many birds show a surprising degree of intraspecific variability in migratory tendency and choice of wintering site. In this study, we tracked the seasonal movements of 35 nonbreeding Black-browed Albatrosses Thalassarche melanophrys from South Georgia, including 24 birds followed in two consecutive years. This revealed consistent patterns of status-related, sex-specific, and individual variation in wintering strategies, and provided the first description of the summer distribution of failed/deferring breeders. Individuals exhibited a striking degree of site fidelity, returning to the same region (southwest Africa or Australia) and showing correlated centers of distribution, as well as remarkable consistency in the chronology of their movements, in consecutive years. Nonetheless, a degree of behavioral flexibility remained, and particularly on the return migration, birds moved between, or bypassed, alternative intermediate staging sites depending on local circumstances. Initiation of the outward migration varied according to breeding status, timing of failure, and sex: deferring breeders and those that failed early departed two months before successful birds, and successful females departed 1–2 weeks earlier than males. Sex-related latitudinal variation in distribution was also apparent, with females wintering farther north within the Benguela system. Moreover, the only migrant to Australia was a male, supporting an apparent tendency for male-biased breeding dispersal inferred from genetic analyses. Distribution and timing of movements appeared in general to relate to avoidance of competition from congeners and conspecifics from other populations. From a conservation perspective, the study indicated that, for the declining Black-browed Albatross population at South Georgia, the primary focus should be toward improving the management (especially reducing bycatch levels) of fisheries in the central and eastern South Atlantic.","DOI":"10.1890/04-1885","ISSN":"1939-9170","title-short":"Summer Distribution and Migration of Nonbreeding Albatrosses","language":"en","author":[{"family":"Phillips","given":"R. A."},{"family":"Silk","given":"Janet R. D."},{"family":"Croxall","given":"John P."},{"family":"Afanasyev","given":"Vsevolod"},{"family":"Bennett","given":"Victoria J."}],"issued":{"date-parts":[["2005",9,1]]}}}],"schema":"https://github.com/citation-style-language/schema/raw/master/csl-citation.json"} </w:instrText>
      </w:r>
      <w:r w:rsidRPr="00AC6A56">
        <w:rPr>
          <w:rFonts w:cstheme="minorHAnsi"/>
        </w:rPr>
        <w:fldChar w:fldCharType="separate"/>
      </w:r>
      <w:r w:rsidRPr="00AC6A56">
        <w:rPr>
          <w:rFonts w:cstheme="minorHAnsi"/>
        </w:rPr>
        <w:t>(Croxall, Silk, Phillips, Afanasyev, &amp; Briggs, 2005; Guilford et al., 2011; Phillips, Silk, Croxall, Afanasyev, &amp; Bennett, 2005)</w:t>
      </w:r>
      <w:r w:rsidRPr="00AC6A56">
        <w:rPr>
          <w:rFonts w:cstheme="minorHAnsi"/>
        </w:rPr>
        <w:fldChar w:fldCharType="end"/>
      </w:r>
      <w:r w:rsidRPr="00AC6A56">
        <w:rPr>
          <w:rFonts w:cstheme="minorHAnsi"/>
        </w:rPr>
        <w:t>, and data were aggregated over all available years</w:t>
      </w:r>
      <w:r w:rsidR="00261419">
        <w:rPr>
          <w:rFonts w:cstheme="minorHAnsi"/>
        </w:rPr>
        <w:t xml:space="preserve"> (data ranged from 1989 to 2017)</w:t>
      </w:r>
      <w:r w:rsidRPr="00AC6A56">
        <w:rPr>
          <w:rFonts w:cstheme="minorHAnsi"/>
        </w:rPr>
        <w:t xml:space="preserve">. We recognise that distributions may change between years, and results will be more robust where tracking data exist across multiple years, but annual shifts in distribution are fairly small compared to the transoceanic range of all species considered here </w:t>
      </w:r>
      <w:r w:rsidRPr="00AC6A56">
        <w:rPr>
          <w:rFonts w:cstheme="minorHAnsi"/>
        </w:rPr>
        <w:fldChar w:fldCharType="begin"/>
      </w:r>
      <w:r w:rsidRPr="00AC6A56">
        <w:rPr>
          <w:rFonts w:cstheme="minorHAnsi"/>
        </w:rPr>
        <w:instrText xml:space="preserve"> ADDIN ZOTERO_ITEM CSL_CITATION {"citationID":"giN1Ev01","properties":{"formattedCitation":"(Phillips, Lewis, Gonz\\uc0\\u225{}lez-Sol\\uc0\\u237{}s, &amp; Daunt, 2017)","plainCitation":"(Phillips, Lewis, González-Solís, &amp; Daunt, 2017)","noteIndex":0},"citationItems":[{"id":265,"uris":["http://zotero.org/users/5862115/items/DGBNAPZK"],"uri":["http://zotero.org/users/5862115/items/DGBNAPZK"],"itemData":{"id":265,"type":"article-journal","title":"Causes and consequences of individual variability and specialization in foraging and migration strategies of seabirds","container-title":"Marine Ecology Progress Series","page":"117-150","volume":"578","source":"www.int-res.com","abstract":"Technological advances in recent years have seen an explosion of tracking and stable isotope studies of seabirds, often involving repeated measures from the same individuals. This wealth of new information has allowed the examination of the extensive variation among and within individuals in foraging and migration strategies (movements, habitat use, feeding behaviour, trophic status, etc.) in unprecedented detail. Variation is underpinned by key life-history or state variables such as sex, age, breeding stage and residual differences among individuals (termed ‘individual specialization’). This variation has major implications for our understanding of seabird ecology, because it affects the use of resources, level of intra-specific competition and niche partitioning. In addition, it determines the responses of individuals and populations to the environment and the susceptibility to major anthropogenic threats. Here we review the effects of season (breeding vs. nonbreeding periods), breeding stage, breeding status, age, sex and individual specialization on foraging and migration strategies, as well as the consequences for population dynamics and conservation.","DOI":"10.3354/meps12217","ISSN":"0171-8630, 1616-1599","language":"en","author":[{"family":"Phillips","given":"R. A."},{"family":"Lewis","given":"Sue"},{"family":"González-Solís","given":"Jacob"},{"family":"Daunt","given":"Francis"}],"issued":{"date-parts":[["2017",8,31]]}}}],"schema":"https://github.com/citation-style-language/schema/raw/master/csl-citation.json"} </w:instrText>
      </w:r>
      <w:r w:rsidRPr="00AC6A56">
        <w:rPr>
          <w:rFonts w:cstheme="minorHAnsi"/>
        </w:rPr>
        <w:fldChar w:fldCharType="separate"/>
      </w:r>
      <w:r w:rsidRPr="00AC6A56">
        <w:rPr>
          <w:rFonts w:cstheme="minorHAnsi"/>
          <w:szCs w:val="24"/>
        </w:rPr>
        <w:t>(Phillips, Lewis, González-Solís, &amp; Daunt, 2017)</w:t>
      </w:r>
      <w:r w:rsidRPr="00AC6A56">
        <w:rPr>
          <w:rFonts w:cstheme="minorHAnsi"/>
        </w:rPr>
        <w:fldChar w:fldCharType="end"/>
      </w:r>
      <w:r w:rsidRPr="00AC6A56">
        <w:rPr>
          <w:rFonts w:cstheme="minorHAnsi"/>
        </w:rPr>
        <w:t>.</w:t>
      </w:r>
      <w:r w:rsidRPr="00AC6A56" w:rsidDel="00D61851">
        <w:rPr>
          <w:rFonts w:cstheme="minorHAnsi"/>
        </w:rPr>
        <w:t xml:space="preserve"> </w:t>
      </w:r>
    </w:p>
    <w:p w:rsidR="00AC6A56" w:rsidRDefault="00AC6A56" w:rsidP="00AC6A56">
      <w:pPr>
        <w:spacing w:before="120" w:after="120" w:line="240" w:lineRule="auto"/>
        <w:rPr>
          <w:rFonts w:cstheme="minorHAnsi"/>
          <w:i/>
          <w:color w:val="000000"/>
        </w:rPr>
      </w:pPr>
    </w:p>
    <w:p w:rsidR="003C7009" w:rsidRPr="00AC6A56" w:rsidRDefault="006F5D59" w:rsidP="00AC6A56">
      <w:pPr>
        <w:spacing w:before="120" w:after="120" w:line="240" w:lineRule="auto"/>
        <w:rPr>
          <w:rFonts w:cstheme="minorHAnsi"/>
          <w:i/>
          <w:color w:val="000000"/>
        </w:rPr>
      </w:pPr>
      <w:r w:rsidRPr="00AC6A56">
        <w:rPr>
          <w:rFonts w:cstheme="minorHAnsi"/>
          <w:i/>
          <w:color w:val="000000"/>
        </w:rPr>
        <w:lastRenderedPageBreak/>
        <w:t>References</w:t>
      </w:r>
    </w:p>
    <w:p w:rsidR="0047604A" w:rsidRPr="00AC6A56" w:rsidRDefault="006F5D59" w:rsidP="00AC6A56">
      <w:pPr>
        <w:pStyle w:val="Bibliografia"/>
        <w:spacing w:line="240" w:lineRule="auto"/>
        <w:rPr>
          <w:rFonts w:cstheme="minorHAnsi"/>
        </w:rPr>
      </w:pPr>
      <w:r w:rsidRPr="00AC6A56">
        <w:rPr>
          <w:rFonts w:cstheme="minorHAnsi"/>
          <w:color w:val="000000"/>
        </w:rPr>
        <w:fldChar w:fldCharType="begin"/>
      </w:r>
      <w:r w:rsidR="0047604A" w:rsidRPr="00AC6A56">
        <w:rPr>
          <w:rFonts w:cstheme="minorHAnsi"/>
          <w:color w:val="000000"/>
        </w:rPr>
        <w:instrText xml:space="preserve"> ADDIN ZOTERO_BIBL {"uncited":[],"omitted":[],"custom":[]} CSL_BIBLIOGRAPHY </w:instrText>
      </w:r>
      <w:r w:rsidRPr="00AC6A56">
        <w:rPr>
          <w:rFonts w:cstheme="minorHAnsi"/>
          <w:color w:val="000000"/>
        </w:rPr>
        <w:fldChar w:fldCharType="separate"/>
      </w:r>
      <w:r w:rsidR="0047604A" w:rsidRPr="00AC6A56">
        <w:rPr>
          <w:rFonts w:cstheme="minorHAnsi"/>
        </w:rPr>
        <w:t xml:space="preserve">BirdLife International. (2018). </w:t>
      </w:r>
      <w:r w:rsidR="0047604A" w:rsidRPr="00AC6A56">
        <w:rPr>
          <w:rFonts w:cstheme="minorHAnsi"/>
          <w:i/>
          <w:iCs/>
        </w:rPr>
        <w:t>IUCN Red List for birds.</w:t>
      </w:r>
      <w:r w:rsidR="0047604A" w:rsidRPr="00AC6A56">
        <w:rPr>
          <w:rFonts w:cstheme="minorHAnsi"/>
        </w:rPr>
        <w:t xml:space="preserve"> Retrieved from http://www.birdlife.org</w:t>
      </w:r>
    </w:p>
    <w:p w:rsidR="0047604A" w:rsidRPr="00AC6A56" w:rsidRDefault="0047604A" w:rsidP="00AC6A56">
      <w:pPr>
        <w:pStyle w:val="Bibliografia"/>
        <w:spacing w:line="240" w:lineRule="auto"/>
        <w:rPr>
          <w:rFonts w:cstheme="minorHAnsi"/>
        </w:rPr>
      </w:pPr>
      <w:r w:rsidRPr="00AC6A56">
        <w:rPr>
          <w:rFonts w:cstheme="minorHAnsi"/>
        </w:rPr>
        <w:t xml:space="preserve">Croxall, J. P., Silk, J. R. D., Phillips, R. A., Afanasyev, V., &amp; Briggs, D. R. (2005). Global circumnavigations: Tracking year-round ranges of nonbreeding albatrosses. </w:t>
      </w:r>
      <w:r w:rsidRPr="00AC6A56">
        <w:rPr>
          <w:rFonts w:cstheme="minorHAnsi"/>
          <w:i/>
          <w:iCs/>
        </w:rPr>
        <w:t>Science</w:t>
      </w:r>
      <w:r w:rsidRPr="00AC6A56">
        <w:rPr>
          <w:rFonts w:cstheme="minorHAnsi"/>
        </w:rPr>
        <w:t xml:space="preserve">, </w:t>
      </w:r>
      <w:r w:rsidRPr="00AC6A56">
        <w:rPr>
          <w:rFonts w:cstheme="minorHAnsi"/>
          <w:i/>
          <w:iCs/>
        </w:rPr>
        <w:t>307</w:t>
      </w:r>
      <w:r w:rsidRPr="00AC6A56">
        <w:rPr>
          <w:rFonts w:cstheme="minorHAnsi"/>
        </w:rPr>
        <w:t>(5707), 249–250. doi: 10.1126/science.1106042</w:t>
      </w:r>
    </w:p>
    <w:p w:rsidR="0047604A" w:rsidRPr="00AC6A56" w:rsidRDefault="0047604A" w:rsidP="00AC6A56">
      <w:pPr>
        <w:pStyle w:val="Bibliografia"/>
        <w:spacing w:line="240" w:lineRule="auto"/>
        <w:rPr>
          <w:rFonts w:cstheme="minorHAnsi"/>
        </w:rPr>
      </w:pPr>
      <w:r w:rsidRPr="00AC6A56">
        <w:rPr>
          <w:rFonts w:cstheme="minorHAnsi"/>
        </w:rPr>
        <w:t xml:space="preserve">Dias, M. P., Martin, R., Pearmain, E. J., Burfield, I. J., Small, C., Phillips, R. A., … Croxall, J. P. (2019). Threats to seabirds: A global assessment. </w:t>
      </w:r>
      <w:r w:rsidRPr="00AC6A56">
        <w:rPr>
          <w:rFonts w:cstheme="minorHAnsi"/>
          <w:i/>
          <w:iCs/>
        </w:rPr>
        <w:t>Biological Conservation</w:t>
      </w:r>
      <w:r w:rsidRPr="00AC6A56">
        <w:rPr>
          <w:rFonts w:cstheme="minorHAnsi"/>
        </w:rPr>
        <w:t>. doi: 10.1016/j.biocon.2019.06.033</w:t>
      </w:r>
    </w:p>
    <w:p w:rsidR="0047604A" w:rsidRPr="00AC6A56" w:rsidRDefault="0047604A" w:rsidP="00AC6A56">
      <w:pPr>
        <w:pStyle w:val="Bibliografia"/>
        <w:spacing w:line="240" w:lineRule="auto"/>
        <w:rPr>
          <w:rFonts w:cstheme="minorHAnsi"/>
        </w:rPr>
      </w:pPr>
      <w:r w:rsidRPr="00AC6A56">
        <w:rPr>
          <w:rFonts w:cstheme="minorHAnsi"/>
        </w:rPr>
        <w:t xml:space="preserve">Guilford, T., Freeman, R., Boyle, D., Dean, B., Kirk, H., Phillips, R. A., &amp; Perrins, C. (2011). A dispersive migration in the Atlantic puffin and its implications for migratory navigation. </w:t>
      </w:r>
      <w:r w:rsidRPr="00AC6A56">
        <w:rPr>
          <w:rFonts w:cstheme="minorHAnsi"/>
          <w:i/>
          <w:iCs/>
        </w:rPr>
        <w:t>PLOS ONE</w:t>
      </w:r>
      <w:r w:rsidRPr="00AC6A56">
        <w:rPr>
          <w:rFonts w:cstheme="minorHAnsi"/>
        </w:rPr>
        <w:t xml:space="preserve">, </w:t>
      </w:r>
      <w:r w:rsidRPr="00AC6A56">
        <w:rPr>
          <w:rFonts w:cstheme="minorHAnsi"/>
          <w:i/>
          <w:iCs/>
        </w:rPr>
        <w:t>6</w:t>
      </w:r>
      <w:r w:rsidRPr="00AC6A56">
        <w:rPr>
          <w:rFonts w:cstheme="minorHAnsi"/>
        </w:rPr>
        <w:t>(7), e21336. doi: 10.1371/journal.pone.0021336</w:t>
      </w:r>
    </w:p>
    <w:p w:rsidR="0047604A" w:rsidRPr="00AC6A56" w:rsidRDefault="0047604A" w:rsidP="00AC6A56">
      <w:pPr>
        <w:pStyle w:val="Bibliografia"/>
        <w:spacing w:line="240" w:lineRule="auto"/>
        <w:rPr>
          <w:rFonts w:cstheme="minorHAnsi"/>
        </w:rPr>
      </w:pPr>
      <w:r w:rsidRPr="00AC6A56">
        <w:rPr>
          <w:rFonts w:cstheme="minorHAnsi"/>
        </w:rPr>
        <w:t xml:space="preserve">Lewison, R. L., Crowder, L. B., Wallace, B. P., Moore, J. E., Cox, T., Zydelis, R., … Safina, C. (2014). Global patterns of marine mammal, seabird, and sea turtle bycatch reveal taxa-specific and cumulative megafauna hotspots. </w:t>
      </w:r>
      <w:r w:rsidRPr="00AC6A56">
        <w:rPr>
          <w:rFonts w:cstheme="minorHAnsi"/>
          <w:i/>
          <w:iCs/>
        </w:rPr>
        <w:t>Proceedings of the National Academy of Sciences</w:t>
      </w:r>
      <w:r w:rsidRPr="00AC6A56">
        <w:rPr>
          <w:rFonts w:cstheme="minorHAnsi"/>
        </w:rPr>
        <w:t xml:space="preserve">, </w:t>
      </w:r>
      <w:r w:rsidRPr="00AC6A56">
        <w:rPr>
          <w:rFonts w:cstheme="minorHAnsi"/>
          <w:i/>
          <w:iCs/>
        </w:rPr>
        <w:t>111</w:t>
      </w:r>
      <w:r w:rsidRPr="00AC6A56">
        <w:rPr>
          <w:rFonts w:cstheme="minorHAnsi"/>
        </w:rPr>
        <w:t>(14), 5271–5276. doi: 10.1073/pnas.1318960111</w:t>
      </w:r>
    </w:p>
    <w:p w:rsidR="0047604A" w:rsidRPr="00AC6A56" w:rsidRDefault="0047604A" w:rsidP="00AC6A56">
      <w:pPr>
        <w:pStyle w:val="Bibliografia"/>
        <w:spacing w:line="240" w:lineRule="auto"/>
        <w:rPr>
          <w:rFonts w:cstheme="minorHAnsi"/>
        </w:rPr>
      </w:pPr>
      <w:r w:rsidRPr="00AC6A56">
        <w:rPr>
          <w:rFonts w:cstheme="minorHAnsi"/>
        </w:rPr>
        <w:t xml:space="preserve">McConnell, B. J., Chambers, C., &amp; Fedak, M. A. (1992). Foraging ecology of southern elephant seals in relation to the bathymetry and productivity of the Southern Ocean. </w:t>
      </w:r>
      <w:r w:rsidRPr="00AC6A56">
        <w:rPr>
          <w:rFonts w:cstheme="minorHAnsi"/>
          <w:i/>
          <w:iCs/>
        </w:rPr>
        <w:t>Antarctic Science</w:t>
      </w:r>
      <w:r w:rsidRPr="00AC6A56">
        <w:rPr>
          <w:rFonts w:cstheme="minorHAnsi"/>
        </w:rPr>
        <w:t xml:space="preserve">, </w:t>
      </w:r>
      <w:r w:rsidRPr="00AC6A56">
        <w:rPr>
          <w:rFonts w:cstheme="minorHAnsi"/>
          <w:i/>
          <w:iCs/>
        </w:rPr>
        <w:t>4</w:t>
      </w:r>
      <w:r w:rsidRPr="00AC6A56">
        <w:rPr>
          <w:rFonts w:cstheme="minorHAnsi"/>
        </w:rPr>
        <w:t>(4), 393–398. doi: 10.1017/S0954102092000580</w:t>
      </w:r>
    </w:p>
    <w:p w:rsidR="0047604A" w:rsidRPr="00AC6A56" w:rsidRDefault="0047604A" w:rsidP="00AC6A56">
      <w:pPr>
        <w:pStyle w:val="Bibliografia"/>
        <w:spacing w:line="240" w:lineRule="auto"/>
        <w:rPr>
          <w:rFonts w:cstheme="minorHAnsi"/>
        </w:rPr>
      </w:pPr>
      <w:r w:rsidRPr="00AC6A56">
        <w:rPr>
          <w:rFonts w:cstheme="minorHAnsi"/>
        </w:rPr>
        <w:t xml:space="preserve">Phillips, R. A., Gales, R., Baker, G. B., Double, M. C., Favero, M., Quintana, F., … Wolfaardt, A. (2016). The conservation status and priorities for albatrosses and large petrels. </w:t>
      </w:r>
      <w:r w:rsidRPr="00AC6A56">
        <w:rPr>
          <w:rFonts w:cstheme="minorHAnsi"/>
          <w:i/>
          <w:iCs/>
        </w:rPr>
        <w:t>Biological Conservation</w:t>
      </w:r>
      <w:r w:rsidRPr="00AC6A56">
        <w:rPr>
          <w:rFonts w:cstheme="minorHAnsi"/>
        </w:rPr>
        <w:t xml:space="preserve">, </w:t>
      </w:r>
      <w:r w:rsidRPr="00AC6A56">
        <w:rPr>
          <w:rFonts w:cstheme="minorHAnsi"/>
          <w:i/>
          <w:iCs/>
        </w:rPr>
        <w:t>201</w:t>
      </w:r>
      <w:r w:rsidRPr="00AC6A56">
        <w:rPr>
          <w:rFonts w:cstheme="minorHAnsi"/>
        </w:rPr>
        <w:t>, 169–183. doi: 10.1016/j.biocon.2016.06.017</w:t>
      </w:r>
    </w:p>
    <w:p w:rsidR="0047604A" w:rsidRPr="00AC6A56" w:rsidRDefault="0047604A" w:rsidP="00AC6A56">
      <w:pPr>
        <w:pStyle w:val="Bibliografia"/>
        <w:spacing w:line="240" w:lineRule="auto"/>
        <w:rPr>
          <w:rFonts w:cstheme="minorHAnsi"/>
        </w:rPr>
      </w:pPr>
      <w:r w:rsidRPr="00AC6A56">
        <w:rPr>
          <w:rFonts w:cstheme="minorHAnsi"/>
        </w:rPr>
        <w:t xml:space="preserve">Phillips, R. A., Lewis, S., González-Solís, J., &amp; Daunt, F. (2017). Causes and consequences of individual variability and specialization in foraging and migration strategies of seabirds. </w:t>
      </w:r>
      <w:r w:rsidRPr="00AC6A56">
        <w:rPr>
          <w:rFonts w:cstheme="minorHAnsi"/>
          <w:i/>
          <w:iCs/>
        </w:rPr>
        <w:t>Marine Ecology Progress Series</w:t>
      </w:r>
      <w:r w:rsidRPr="00AC6A56">
        <w:rPr>
          <w:rFonts w:cstheme="minorHAnsi"/>
        </w:rPr>
        <w:t xml:space="preserve">, </w:t>
      </w:r>
      <w:r w:rsidRPr="00AC6A56">
        <w:rPr>
          <w:rFonts w:cstheme="minorHAnsi"/>
          <w:i/>
          <w:iCs/>
        </w:rPr>
        <w:t>578</w:t>
      </w:r>
      <w:r w:rsidRPr="00AC6A56">
        <w:rPr>
          <w:rFonts w:cstheme="minorHAnsi"/>
        </w:rPr>
        <w:t>, 117–150. doi: 10.3354/meps12217</w:t>
      </w:r>
    </w:p>
    <w:p w:rsidR="0047604A" w:rsidRPr="00AC6A56" w:rsidRDefault="0047604A" w:rsidP="00AC6A56">
      <w:pPr>
        <w:pStyle w:val="Bibliografia"/>
        <w:spacing w:line="240" w:lineRule="auto"/>
        <w:rPr>
          <w:rFonts w:cstheme="minorHAnsi"/>
        </w:rPr>
      </w:pPr>
      <w:r w:rsidRPr="00AC6A56">
        <w:rPr>
          <w:rFonts w:cstheme="minorHAnsi"/>
        </w:rPr>
        <w:t xml:space="preserve">Phillips, R. A., Silk, J. R. D., Croxall, J. P., Afanasyev, V., &amp; Bennett, V. J. (2005). Summer distribution and migration of nonbreeding albatrosses: Individual consistencies and implications for conservation. </w:t>
      </w:r>
      <w:r w:rsidRPr="00AC6A56">
        <w:rPr>
          <w:rFonts w:cstheme="minorHAnsi"/>
          <w:i/>
          <w:iCs/>
        </w:rPr>
        <w:t>Ecology</w:t>
      </w:r>
      <w:r w:rsidRPr="00AC6A56">
        <w:rPr>
          <w:rFonts w:cstheme="minorHAnsi"/>
        </w:rPr>
        <w:t xml:space="preserve">, </w:t>
      </w:r>
      <w:r w:rsidRPr="00AC6A56">
        <w:rPr>
          <w:rFonts w:cstheme="minorHAnsi"/>
          <w:i/>
          <w:iCs/>
        </w:rPr>
        <w:t>86</w:t>
      </w:r>
      <w:r w:rsidRPr="00AC6A56">
        <w:rPr>
          <w:rFonts w:cstheme="minorHAnsi"/>
        </w:rPr>
        <w:t>(9), 2386–2396. doi: 10.1890/04-1885</w:t>
      </w:r>
    </w:p>
    <w:p w:rsidR="006F5D59" w:rsidRPr="00AC6A56" w:rsidRDefault="006F5D59" w:rsidP="00AC6A56">
      <w:pPr>
        <w:spacing w:before="120" w:after="120" w:line="240" w:lineRule="auto"/>
        <w:rPr>
          <w:rFonts w:cstheme="minorHAnsi"/>
          <w:i/>
          <w:color w:val="000000"/>
        </w:rPr>
      </w:pPr>
      <w:r w:rsidRPr="00AC6A56">
        <w:rPr>
          <w:rFonts w:cstheme="minorHAnsi"/>
          <w:i/>
          <w:color w:val="000000"/>
        </w:rPr>
        <w:fldChar w:fldCharType="end"/>
      </w:r>
    </w:p>
    <w:sectPr w:rsidR="006F5D59" w:rsidRPr="00AC6A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09"/>
    <w:rsid w:val="00184FF4"/>
    <w:rsid w:val="001F1A98"/>
    <w:rsid w:val="00261419"/>
    <w:rsid w:val="00262209"/>
    <w:rsid w:val="00271EA9"/>
    <w:rsid w:val="00306811"/>
    <w:rsid w:val="003C7009"/>
    <w:rsid w:val="0047604A"/>
    <w:rsid w:val="005D3ABB"/>
    <w:rsid w:val="006F5D59"/>
    <w:rsid w:val="00743ECC"/>
    <w:rsid w:val="00756981"/>
    <w:rsid w:val="00844449"/>
    <w:rsid w:val="00853F7B"/>
    <w:rsid w:val="008974A5"/>
    <w:rsid w:val="008D255C"/>
    <w:rsid w:val="00A40185"/>
    <w:rsid w:val="00A7781F"/>
    <w:rsid w:val="00AC6A56"/>
    <w:rsid w:val="00AD2467"/>
    <w:rsid w:val="00B03B61"/>
    <w:rsid w:val="00B23408"/>
    <w:rsid w:val="00B37BA8"/>
    <w:rsid w:val="00BB6A01"/>
    <w:rsid w:val="00BF7740"/>
    <w:rsid w:val="00C54C46"/>
    <w:rsid w:val="00C8265A"/>
    <w:rsid w:val="00CA245D"/>
    <w:rsid w:val="00D07F19"/>
    <w:rsid w:val="00D7585B"/>
    <w:rsid w:val="00E34652"/>
    <w:rsid w:val="00E56798"/>
    <w:rsid w:val="00EA4FF1"/>
    <w:rsid w:val="00F04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F794B-DA39-4461-AF67-3CB9F6B1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00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Bibliografia">
    <w:name w:val="Bibliography"/>
    <w:basedOn w:val="Normal"/>
    <w:next w:val="Normal"/>
    <w:uiPriority w:val="37"/>
    <w:unhideWhenUsed/>
    <w:rsid w:val="00F04E16"/>
    <w:pPr>
      <w:spacing w:after="0" w:line="480" w:lineRule="auto"/>
      <w:ind w:left="720" w:hanging="720"/>
    </w:pPr>
  </w:style>
  <w:style w:type="character" w:styleId="Hyperlink">
    <w:name w:val="Hyperlink"/>
    <w:basedOn w:val="Fontepargpadro"/>
    <w:uiPriority w:val="99"/>
    <w:unhideWhenUsed/>
    <w:rsid w:val="006F5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birdtracking.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cap.aq/en/acap-species" TargetMode="External"/><Relationship Id="rId5" Type="http://schemas.openxmlformats.org/officeDocument/2006/relationships/hyperlink" Target="https://github.com/anacarneiro/DensityMap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A5EA4-C8DE-4E4B-BAAD-2FB2E326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4102</Words>
  <Characters>22157</Characters>
  <Application>Microsoft Office Word</Application>
  <DocSecurity>0</DocSecurity>
  <Lines>184</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Bertoldi Carneiro</dc:creator>
  <cp:keywords/>
  <dc:description/>
  <cp:lastModifiedBy>FURG 2</cp:lastModifiedBy>
  <cp:revision>2</cp:revision>
  <dcterms:created xsi:type="dcterms:W3CDTF">2020-03-02T14:56:00Z</dcterms:created>
  <dcterms:modified xsi:type="dcterms:W3CDTF">2020-03-02T14:56:00Z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id="XUAT1qwP"/&gt;&lt;style id="http://www.zotero.org/styles/journal-of-applied-ecology" hasBibliography="1" bibliographyStyleHasBeenSet="1"/&gt;&lt;prefs&gt;&lt;pref name="fieldType" value="Field"/&gt;&lt;/prefs&gt;&lt;/data&gt;</vt:lpwstr>
  </property>
</Properties>
</file>