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34" w:rsidRPr="00CC5C7D" w:rsidRDefault="00471A34" w:rsidP="00471A34">
      <w:pPr>
        <w:spacing w:line="240" w:lineRule="auto"/>
        <w:rPr>
          <w:rFonts w:cstheme="minorHAnsi"/>
          <w:b/>
          <w:sz w:val="28"/>
          <w:szCs w:val="28"/>
          <w:u w:val="single"/>
          <w:lang w:val="en-US"/>
        </w:rPr>
      </w:pPr>
      <w:bookmarkStart w:id="0" w:name="_GoBack"/>
      <w:bookmarkEnd w:id="0"/>
      <w:r w:rsidRPr="00CC5C7D">
        <w:rPr>
          <w:rFonts w:cstheme="minorHAnsi"/>
          <w:b/>
          <w:sz w:val="28"/>
          <w:szCs w:val="28"/>
          <w:u w:val="single"/>
          <w:lang w:val="en-US"/>
        </w:rPr>
        <w:t>SUPPORTING INFORMATION</w:t>
      </w:r>
    </w:p>
    <w:p w:rsidR="00471A34" w:rsidRPr="00CC5C7D" w:rsidRDefault="00471A34" w:rsidP="00471A34">
      <w:pPr>
        <w:spacing w:line="240" w:lineRule="auto"/>
        <w:rPr>
          <w:rFonts w:cstheme="minorHAnsi"/>
          <w:b/>
          <w:sz w:val="28"/>
          <w:szCs w:val="28"/>
          <w:u w:val="single"/>
          <w:lang w:val="en-US"/>
        </w:rPr>
      </w:pPr>
      <w:r>
        <w:rPr>
          <w:rFonts w:cstheme="minorHAnsi"/>
          <w:b/>
          <w:sz w:val="28"/>
          <w:szCs w:val="28"/>
          <w:u w:val="single"/>
          <w:lang w:val="en-US"/>
        </w:rPr>
        <w:t>Appendix S4</w:t>
      </w:r>
    </w:p>
    <w:p w:rsidR="009C16C5" w:rsidRDefault="009C16C5" w:rsidP="009C16C5">
      <w:pPr>
        <w:spacing w:line="240" w:lineRule="auto"/>
        <w:rPr>
          <w:rFonts w:cstheme="minorHAnsi"/>
          <w:b/>
          <w:sz w:val="28"/>
          <w:szCs w:val="28"/>
          <w:u w:val="single"/>
          <w:lang w:val="en-US"/>
        </w:rPr>
      </w:pPr>
      <w:r>
        <w:rPr>
          <w:rFonts w:cstheme="minorHAnsi"/>
          <w:b/>
          <w:sz w:val="28"/>
          <w:szCs w:val="28"/>
        </w:rPr>
        <w:t>A framework for mapping the distribution seabirds by integrating tracking, demography and phenology</w:t>
      </w:r>
    </w:p>
    <w:p w:rsidR="00471A34" w:rsidRPr="00CC5C7D" w:rsidRDefault="00471A34" w:rsidP="00471A34">
      <w:pPr>
        <w:spacing w:line="240" w:lineRule="auto"/>
        <w:rPr>
          <w:rFonts w:cstheme="minorHAnsi"/>
        </w:rPr>
      </w:pPr>
      <w:r w:rsidRPr="00CC5C7D">
        <w:rPr>
          <w:rFonts w:cstheme="minorHAnsi"/>
        </w:rPr>
        <w:t xml:space="preserve">More details can be found at </w:t>
      </w:r>
      <w:hyperlink r:id="rId4" w:history="1">
        <w:r w:rsidRPr="00CC5C7D">
          <w:rPr>
            <w:rStyle w:val="Hyperlink"/>
            <w:rFonts w:cstheme="minorHAnsi"/>
          </w:rPr>
          <w:t>https://github.com/anacarneiro/DensityMaps</w:t>
        </w:r>
      </w:hyperlink>
    </w:p>
    <w:p w:rsidR="00471A34" w:rsidRDefault="00471A34" w:rsidP="004276D0">
      <w:pPr>
        <w:rPr>
          <w:rFonts w:asciiTheme="majorHAnsi" w:hAnsiTheme="majorHAnsi" w:cstheme="majorHAnsi"/>
        </w:rPr>
      </w:pPr>
    </w:p>
    <w:p w:rsidR="004276D0" w:rsidRPr="00471A34" w:rsidRDefault="004276D0" w:rsidP="00471A34">
      <w:pPr>
        <w:spacing w:line="240" w:lineRule="auto"/>
        <w:rPr>
          <w:rFonts w:cstheme="minorHAnsi"/>
          <w:i/>
        </w:rPr>
      </w:pPr>
      <w:r w:rsidRPr="00471A34">
        <w:rPr>
          <w:rFonts w:cstheme="minorHAnsi"/>
          <w:i/>
        </w:rPr>
        <w:t>Kernel analysis</w:t>
      </w:r>
    </w:p>
    <w:p w:rsidR="004276D0" w:rsidRPr="00471A34" w:rsidRDefault="004276D0" w:rsidP="00471A34">
      <w:pPr>
        <w:spacing w:line="240" w:lineRule="auto"/>
        <w:rPr>
          <w:rFonts w:cstheme="minorHAnsi"/>
        </w:rPr>
      </w:pPr>
      <w:r w:rsidRPr="00471A34">
        <w:rPr>
          <w:rFonts w:cstheme="minorHAnsi"/>
        </w:rPr>
        <w:t xml:space="preserve">Utilization distributions (UDs) using kernel analysis in the adehabitatHR package </w:t>
      </w:r>
      <w:r w:rsidRPr="00471A34">
        <w:rPr>
          <w:rFonts w:cstheme="minorHAnsi"/>
        </w:rPr>
        <w:fldChar w:fldCharType="begin"/>
      </w:r>
      <w:r w:rsidRPr="00471A34">
        <w:rPr>
          <w:rFonts w:cstheme="minorHAnsi"/>
        </w:rPr>
        <w:instrText xml:space="preserve"> ADDIN ZOTERO_ITEM CSL_CITATION {"citationID":"1i32o8tmpa","properties":{"formattedCitation":"(Calenge, 2006)","plainCitation":"(Calenge, 2006)","noteIndex":0},"citationItems":[{"id":372,"uris":["http://zotero.org/users/5862115/items/F854PTDE"],"uri":["http://zotero.org/users/5862115/items/F854PTDE"],"itemData":{"id":372,"type":"article-journal","title":"The package “adehabitat” for the R software: A tool for the analysis of space and habitat use by animals","container-title":"Ecological Modelling","page":"516-519","volume":"197","issue":"3","source":"ScienceDirect","abstract":"The practical analysis of space use and habitat selection by animals is often a problem due to the lack of well-designed programs. I present here the “adehabitat” package for the R software, which offers basic GIS (Geographic Information System) functions, methods to analyze radio-tracking data and habitat selection by wildlife, and interfaces with other R packages. These tools can be downloaded freely on the internet. Because the functions of this package can be combined with other functions of R, “adehabitat” provides a powerful environment for the analysis of the space and habitat use.","DOI":"10.1016/j.ecolmodel.2006.03.017","ISSN":"0304-3800","title-short":"The package “adehabitat” for the R software","journalAbbreviation":"Ecological Modelling","author":[{"family":"Calenge","given":"Clément"}],"issued":{"date-parts":[["2006",8,25]]}}}],"schema":"https://github.com/citation-style-language/schema/raw/master/csl-citation.json"} </w:instrText>
      </w:r>
      <w:r w:rsidRPr="00471A34">
        <w:rPr>
          <w:rFonts w:cstheme="minorHAnsi"/>
        </w:rPr>
        <w:fldChar w:fldCharType="separate"/>
      </w:r>
      <w:r w:rsidRPr="00471A34">
        <w:rPr>
          <w:rFonts w:cstheme="minorHAnsi"/>
        </w:rPr>
        <w:t>(Calenge, 2006)</w:t>
      </w:r>
      <w:r w:rsidRPr="00471A34">
        <w:rPr>
          <w:rFonts w:cstheme="minorHAnsi"/>
        </w:rPr>
        <w:fldChar w:fldCharType="end"/>
      </w:r>
      <w:r w:rsidRPr="00471A34">
        <w:rPr>
          <w:rFonts w:cstheme="minorHAnsi"/>
        </w:rPr>
        <w:t xml:space="preserve"> were estimated for each data group which consisted of unique combinations of species, breeding site (using the same definition as in ACAP breeding site database; Phillips et al., 2016), device type, age and stage of the annual cycle. Tracking data derived from GPS and PTT were combined before the kernel analysis. To control for differences in the number of trips or years of tracking per individual, UDs were generated for each bird and then averaged so that each individual had equal weighting </w:t>
      </w:r>
      <w:r w:rsidRPr="00471A34">
        <w:rPr>
          <w:rFonts w:cstheme="minorHAnsi"/>
        </w:rPr>
        <w:fldChar w:fldCharType="begin"/>
      </w:r>
      <w:r w:rsidR="004C74EA" w:rsidRPr="00471A34">
        <w:rPr>
          <w:rFonts w:cstheme="minorHAnsi"/>
        </w:rPr>
        <w:instrText xml:space="preserve"> ADDIN ZOTERO_ITEM CSL_CITATION {"citationID":"1fvd0ekj6i","properties":{"formattedCitation":"(Carneiro et al., 2016; Clay et al., 2016, 2019)","plainCitation":"(Carneiro et al., 2016; Clay et al., 2016, 2019)","noteIndex":0},"citationItems":[{"id":288,"uris":["http://zotero.org/users/5862115/items/HZEERQTA"],"uri":["http://zotero.org/users/5862115/items/HZEERQTA"],"itemData":{"id":288,"type":"article-journal","title":"Consistency in migration strategies and habitat preferences of brown skuas over two winters, a decade apart","container-title":"Marine Ecology Progress Series","page":"267-281","volume":"553","source":"www.int-res.com","abstract":"At-sea movements and activity patterns of brown skuas Stercorarius antarcticus lonnbergi from South Georgia were analysed in 2 winters, a decade apart, to examine the degree of consistency in migration strategies and habitat preferences during the non-breeding and pre-laying exodus periods. Oceanographic habitat preferences of tracked skuas were determined using a robust model accounting for availability. At the population level, brown skuas were broadly consistent in their choice of wintering areas and habitat preferences, although the distribution extended farther east in 2012 than in 2002. Skuas preferred areas associated with static oceanography (bathymetric features) both during the non-breeding and pre-laying periods, which may explain the consistency between years in habitat use. There was no significant effect of year on departure dates from South Georgia, but birds returned earlier to the colony in 2002. Migration schedules varied according to breeding status, with failed birds departing earlier than birds that bred successfully. Although failed birds travelled farther from the colony, there was little variation in dates of return. In general the timing of movements was similar between sexes, but females were more likely than males to engage in a pre-laying exodus. Brown skuas spent a much higher proportion of time sitting on the water than other seabirds during both the non-breeding and pre-laying exodus periods, and the number of flight bouts per day was surprisingly low. The selection of static features by brown skuas may indicate that skuas may have less flexibility to track environmental changes than species that use dynamic cues.","DOI":"10.3354/meps11781","ISSN":"0171-8630, 1616-1599","language":"en","author":[{"family":"Carneiro","given":"A. P. B."},{"family":"Manica","given":"Andrea"},{"family":"Clay","given":"Thomas A."},{"family":"Silk","given":"Janet R. D."},{"family":"King","given":"Michelle"},{"family":"Phillips","given":"R. A."}],"issued":{"date-parts":[["2016",7,14]]}}},{"id":680,"uris":["http://zotero.org/users/5862115/items/97I27DME"],"uri":["http://zotero.org/users/5862115/items/97I27DME"],"itemData":{"id":680,"type":"article-journal","title":"A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A."}],"issued":{"date-parts":[["2019"]]}}},{"id":4,"uris":["http://zotero.org/users/5862115/items/W2VIRBTW"],"uri":["http://zotero.org/users/5862115/items/W2VIRBTW"],"itemData":{"id":4,"type":"article-journal","title":"Proximate drivers of spatial segregation in non-breeding albatrosses","container-title":"Scientific Reports","page":"29932","volume":"6","source":"www.nature.com","abstract":"Many animals partition resources to avoid competition, and in colonially-breeding species this often leads to divergent space or habitat use. During the non-breeding season, foraging constraints are relaxed, yet the patterns and drivers of segregation both between and within populations are poorly understood. We modelled habitat preference to examine how extrinsic (habitat availability and intra-specific competition) and intrinsic factors (population, sex and breeding outcome) influence the distributions of non-breeding grey-headed albatrosses Thalassarche chrysostoma tracked from two major populations, South Georgia (Atlantic Ocean) and the Prince Edward Islands (Indian Ocean). Spatial segregation was greater than expected, reflecting distinct seasonal differences in habitat selection and accessibility, and avoidance of intra-specific competition with local breeders. Previously failed birds segregated spatially from successful birds during summer, when they used less productive waters, suggesting a link between breeding outcome and subsequent habitat selection. In contrast, we found weak evidence of sexual segregation, which did not reflect a difference in habitat use. Our results indicate that the large-scale spatial structuring of albatross distributions results from interactions between extrinsic and intrinsic factors, with important implications for population dynamics. As habitat preferences differed substantially between colonies, populations should be considered independently when identifying critical areas for protection.","DOI":"10.1038/srep29932","ISSN":"2045-2322","language":"en","author":[{"family":"Clay","given":"Thomas A."},{"family":"Manica","given":"Andrea"},{"family":"Ryan","given":"Peter G."},{"family":"Silk","given":"Janet R. D."},{"family":"Croxall","given":"John P."},{"family":"Ireland","given":"Louise"},{"family":"Phillips","given":"R. A."}],"issued":{"date-parts":[["2016",7,21]]}}}],"schema":"https://github.com/citation-style-language/schema/raw/master/csl-citation.json"} </w:instrText>
      </w:r>
      <w:r w:rsidRPr="00471A34">
        <w:rPr>
          <w:rFonts w:cstheme="minorHAnsi"/>
        </w:rPr>
        <w:fldChar w:fldCharType="separate"/>
      </w:r>
      <w:r w:rsidRPr="00471A34">
        <w:rPr>
          <w:rFonts w:cstheme="minorHAnsi"/>
        </w:rPr>
        <w:t>(Carneiro et al., 2016; Clay et al., 2016, 2019)</w:t>
      </w:r>
      <w:r w:rsidRPr="00471A34">
        <w:rPr>
          <w:rFonts w:cstheme="minorHAnsi"/>
        </w:rPr>
        <w:fldChar w:fldCharType="end"/>
      </w:r>
      <w:r w:rsidRPr="00471A34">
        <w:rPr>
          <w:rFonts w:cstheme="minorHAnsi"/>
        </w:rPr>
        <w:t>. A fixed smoothing parameter (</w:t>
      </w:r>
      <w:r w:rsidRPr="00471A34">
        <w:rPr>
          <w:rFonts w:cstheme="minorHAnsi"/>
          <w:i/>
        </w:rPr>
        <w:t>h</w:t>
      </w:r>
      <w:r w:rsidRPr="00471A34">
        <w:rPr>
          <w:rFonts w:cstheme="minorHAnsi"/>
        </w:rPr>
        <w:t xml:space="preserve">) of 50 km was used for PTT and GPS data, and 200 km for GLS data </w:t>
      </w:r>
      <w:r w:rsidRPr="00471A34">
        <w:rPr>
          <w:rFonts w:cstheme="minorHAnsi"/>
        </w:rPr>
        <w:fldChar w:fldCharType="begin"/>
      </w:r>
      <w:r w:rsidR="004C74EA" w:rsidRPr="00471A34">
        <w:rPr>
          <w:rFonts w:cstheme="minorHAnsi"/>
        </w:rPr>
        <w:instrText xml:space="preserve"> ADDIN ZOTERO_ITEM CSL_CITATION {"citationID":"iGRkiUJm","properties":{"formattedCitation":"(BirdLife International, 2004)","plainCitation":"(BirdLife International, 2004)","noteIndex":0},"citationItems":[{"id":307,"uris":["http://zotero.org/users/5862115/items/RTN65IIA"],"uri":["http://zotero.org/users/5862115/items/RTN65IIA"],"itemData":{"id":307,"type":"article","title":"Tracking Ocean Wanderers: The global distribution of albatrosses and petrels. BirdLife International, Cambridge","author":[{"family":"BirdLife International","given":""}],"issued":{"date-parts":[["2004"]]}}}],"schema":"https://github.com/citation-style-language/schema/raw/master/csl-citation.json"} </w:instrText>
      </w:r>
      <w:r w:rsidRPr="00471A34">
        <w:rPr>
          <w:rFonts w:cstheme="minorHAnsi"/>
        </w:rPr>
        <w:fldChar w:fldCharType="separate"/>
      </w:r>
      <w:r w:rsidRPr="00471A34">
        <w:rPr>
          <w:rFonts w:cstheme="minorHAnsi"/>
        </w:rPr>
        <w:t>(BirdLife International, 2004)</w:t>
      </w:r>
      <w:r w:rsidRPr="00471A34">
        <w:rPr>
          <w:rFonts w:cstheme="minorHAnsi"/>
        </w:rPr>
        <w:fldChar w:fldCharType="end"/>
      </w:r>
      <w:r w:rsidRPr="00471A34">
        <w:rPr>
          <w:rFonts w:cstheme="minorHAnsi"/>
        </w:rPr>
        <w:t xml:space="preserve">. Tracking data for black-browed and white-capped albatrosses were available for several breeding sites within the same island or island group, therefore, the final UD represented the combination of sites based on the percentage of the total population involved. For the incubation period, the final UD for black-browed albatross was the combination of UDs created for Saunders Island, New Island and Steeple Jason, representing each 6%, 7% and 87% of the </w:t>
      </w:r>
      <w:r w:rsidRPr="00471A34">
        <w:rPr>
          <w:rFonts w:eastAsia="Times New Roman" w:cstheme="minorHAnsi"/>
          <w:color w:val="000000"/>
          <w:lang w:eastAsia="en-GB"/>
        </w:rPr>
        <w:t xml:space="preserve">Falkland Islands (Islas Malvinas) population, while during the brood-guard stage, data was available for New Island (8%) and Steeple Jason (92%) and for Saunders Island (45%) and New Island (55%) for the non-breeding distribution. For the white-capped albatross UDs for both brood-guard and post-guard were the combination of UDs from Auckland Island (5%) and Disappointment Island (95%). </w:t>
      </w:r>
      <w:r w:rsidRPr="00471A34">
        <w:rPr>
          <w:rFonts w:cstheme="minorHAnsi"/>
        </w:rPr>
        <w:t>The UDs created for each data group were used as surrogates for the population-level distributions (i.e. island or island groups when using the same definition as ACAP).</w:t>
      </w:r>
      <w:r w:rsidR="00471A34" w:rsidRPr="00471A34">
        <w:rPr>
          <w:rFonts w:cstheme="minorHAnsi"/>
        </w:rPr>
        <w:t xml:space="preserve"> The final UDs were cropped by a land mass polygon so that they only included marine areas.</w:t>
      </w:r>
    </w:p>
    <w:p w:rsidR="004276D0" w:rsidRPr="00471A34" w:rsidRDefault="004276D0" w:rsidP="00471A34">
      <w:pPr>
        <w:spacing w:line="240" w:lineRule="auto"/>
        <w:rPr>
          <w:rFonts w:cstheme="minorHAnsi"/>
        </w:rPr>
      </w:pPr>
    </w:p>
    <w:p w:rsidR="004276D0" w:rsidRPr="00471A34" w:rsidRDefault="004276D0" w:rsidP="00471A34">
      <w:pPr>
        <w:spacing w:line="240" w:lineRule="auto"/>
        <w:rPr>
          <w:rFonts w:cstheme="minorHAnsi"/>
          <w:i/>
        </w:rPr>
      </w:pPr>
      <w:r w:rsidRPr="00471A34">
        <w:rPr>
          <w:rFonts w:cstheme="minorHAnsi"/>
          <w:i/>
        </w:rPr>
        <w:t>References</w:t>
      </w:r>
    </w:p>
    <w:p w:rsidR="000F7E73" w:rsidRPr="00471A34" w:rsidRDefault="004276D0" w:rsidP="00471A34">
      <w:pPr>
        <w:pStyle w:val="Bibliografia"/>
        <w:spacing w:line="240" w:lineRule="auto"/>
        <w:rPr>
          <w:rFonts w:cstheme="minorHAnsi"/>
        </w:rPr>
      </w:pPr>
      <w:r w:rsidRPr="00471A34">
        <w:rPr>
          <w:rFonts w:cstheme="minorHAnsi"/>
        </w:rPr>
        <w:fldChar w:fldCharType="begin"/>
      </w:r>
      <w:r w:rsidR="000F7E73" w:rsidRPr="00471A34">
        <w:rPr>
          <w:rFonts w:cstheme="minorHAnsi"/>
        </w:rPr>
        <w:instrText xml:space="preserve"> ADDIN ZOTERO_BIBL {"uncited":[],"omitted":[],"custom":[]} CSL_BIBLIOGRAPHY </w:instrText>
      </w:r>
      <w:r w:rsidRPr="00471A34">
        <w:rPr>
          <w:rFonts w:cstheme="minorHAnsi"/>
        </w:rPr>
        <w:fldChar w:fldCharType="separate"/>
      </w:r>
      <w:r w:rsidR="000F7E73" w:rsidRPr="00471A34">
        <w:rPr>
          <w:rFonts w:cstheme="minorHAnsi"/>
        </w:rPr>
        <w:t xml:space="preserve">BirdLife International. (2004). </w:t>
      </w:r>
      <w:r w:rsidR="000F7E73" w:rsidRPr="00471A34">
        <w:rPr>
          <w:rFonts w:cstheme="minorHAnsi"/>
          <w:i/>
          <w:iCs/>
        </w:rPr>
        <w:t>Tracking Ocean Wanderers: The global distribution of albatrosses and petrels. BirdLife International, Cambridge</w:t>
      </w:r>
      <w:r w:rsidR="000F7E73" w:rsidRPr="00471A34">
        <w:rPr>
          <w:rFonts w:cstheme="minorHAnsi"/>
        </w:rPr>
        <w:t>.</w:t>
      </w:r>
    </w:p>
    <w:p w:rsidR="000F7E73" w:rsidRPr="00471A34" w:rsidRDefault="000F7E73" w:rsidP="00471A34">
      <w:pPr>
        <w:pStyle w:val="Bibliografia"/>
        <w:spacing w:line="240" w:lineRule="auto"/>
        <w:rPr>
          <w:rFonts w:cstheme="minorHAnsi"/>
        </w:rPr>
      </w:pPr>
      <w:r w:rsidRPr="00471A34">
        <w:rPr>
          <w:rFonts w:cstheme="minorHAnsi"/>
        </w:rPr>
        <w:t xml:space="preserve">Calenge, C. (2006). The package “adehabitat” for the R software: A tool for the analysis of space and habitat use by animals. </w:t>
      </w:r>
      <w:r w:rsidRPr="00471A34">
        <w:rPr>
          <w:rFonts w:cstheme="minorHAnsi"/>
          <w:i/>
          <w:iCs/>
        </w:rPr>
        <w:t>Ecological Modelling</w:t>
      </w:r>
      <w:r w:rsidRPr="00471A34">
        <w:rPr>
          <w:rFonts w:cstheme="minorHAnsi"/>
        </w:rPr>
        <w:t xml:space="preserve">, </w:t>
      </w:r>
      <w:r w:rsidRPr="00471A34">
        <w:rPr>
          <w:rFonts w:cstheme="minorHAnsi"/>
          <w:i/>
          <w:iCs/>
        </w:rPr>
        <w:t>197</w:t>
      </w:r>
      <w:r w:rsidRPr="00471A34">
        <w:rPr>
          <w:rFonts w:cstheme="minorHAnsi"/>
        </w:rPr>
        <w:t>(3), 516–519. doi: 10.1016/j.ecolmodel.2006.03.017</w:t>
      </w:r>
    </w:p>
    <w:p w:rsidR="000F7E73" w:rsidRPr="00471A34" w:rsidRDefault="000F7E73" w:rsidP="00471A34">
      <w:pPr>
        <w:pStyle w:val="Bibliografia"/>
        <w:spacing w:line="240" w:lineRule="auto"/>
        <w:rPr>
          <w:rFonts w:cstheme="minorHAnsi"/>
        </w:rPr>
      </w:pPr>
      <w:r w:rsidRPr="00471A34">
        <w:rPr>
          <w:rFonts w:cstheme="minorHAnsi"/>
        </w:rPr>
        <w:t xml:space="preserve">Carneiro, A. P. B., Manica, A., Clay, T. A., Silk, J. R. D., King, M., &amp; Phillips, R. A. (2016). Consistency in migration strategies and habitat preferences of brown skuas over two winters, a decade apart. </w:t>
      </w:r>
      <w:r w:rsidRPr="00471A34">
        <w:rPr>
          <w:rFonts w:cstheme="minorHAnsi"/>
          <w:i/>
          <w:iCs/>
        </w:rPr>
        <w:t>Marine Ecology Progress Series</w:t>
      </w:r>
      <w:r w:rsidRPr="00471A34">
        <w:rPr>
          <w:rFonts w:cstheme="minorHAnsi"/>
        </w:rPr>
        <w:t xml:space="preserve">, </w:t>
      </w:r>
      <w:r w:rsidRPr="00471A34">
        <w:rPr>
          <w:rFonts w:cstheme="minorHAnsi"/>
          <w:i/>
          <w:iCs/>
        </w:rPr>
        <w:t>553</w:t>
      </w:r>
      <w:r w:rsidRPr="00471A34">
        <w:rPr>
          <w:rFonts w:cstheme="minorHAnsi"/>
        </w:rPr>
        <w:t>, 267–281. doi: 10.3354/meps11781</w:t>
      </w:r>
    </w:p>
    <w:p w:rsidR="000F7E73" w:rsidRPr="00471A34" w:rsidRDefault="000F7E73" w:rsidP="00471A34">
      <w:pPr>
        <w:pStyle w:val="Bibliografia"/>
        <w:spacing w:line="240" w:lineRule="auto"/>
        <w:rPr>
          <w:rFonts w:cstheme="minorHAnsi"/>
        </w:rPr>
      </w:pPr>
      <w:r w:rsidRPr="00471A34">
        <w:rPr>
          <w:rFonts w:cstheme="minorHAnsi"/>
        </w:rPr>
        <w:t xml:space="preserve">Clay, T. A., Manica, A., Ryan, P. G., Silk, J. R. D., Croxall, J. P., Ireland, L., &amp; Phillips, R. A. (2016). Proximate drivers of spatial segregation in non-breeding albatrosses. </w:t>
      </w:r>
      <w:r w:rsidRPr="00471A34">
        <w:rPr>
          <w:rFonts w:cstheme="minorHAnsi"/>
          <w:i/>
          <w:iCs/>
        </w:rPr>
        <w:t>Scientific Reports</w:t>
      </w:r>
      <w:r w:rsidRPr="00471A34">
        <w:rPr>
          <w:rFonts w:cstheme="minorHAnsi"/>
        </w:rPr>
        <w:t xml:space="preserve">, </w:t>
      </w:r>
      <w:r w:rsidRPr="00471A34">
        <w:rPr>
          <w:rFonts w:cstheme="minorHAnsi"/>
          <w:i/>
          <w:iCs/>
        </w:rPr>
        <w:t>6</w:t>
      </w:r>
      <w:r w:rsidRPr="00471A34">
        <w:rPr>
          <w:rFonts w:cstheme="minorHAnsi"/>
        </w:rPr>
        <w:t>, 29932. doi: 10.1038/srep29932</w:t>
      </w:r>
    </w:p>
    <w:p w:rsidR="000F7E73" w:rsidRPr="00471A34" w:rsidRDefault="000F7E73" w:rsidP="00471A34">
      <w:pPr>
        <w:pStyle w:val="Bibliografia"/>
        <w:spacing w:line="240" w:lineRule="auto"/>
        <w:rPr>
          <w:rFonts w:cstheme="minorHAnsi"/>
        </w:rPr>
      </w:pPr>
      <w:r w:rsidRPr="00471A34">
        <w:rPr>
          <w:rFonts w:cstheme="minorHAnsi"/>
        </w:rPr>
        <w:t xml:space="preserve">Clay, T. A., Small, C., Tuck, G. N., Pardo, D., Carneiro, A. P. B., Wood, A. G., … Phillips, R. A. (2019). A comprehensive large-scale assessment of fisheries bycatch risk to threatened seabird populations. </w:t>
      </w:r>
      <w:r w:rsidRPr="00471A34">
        <w:rPr>
          <w:rFonts w:cstheme="minorHAnsi"/>
          <w:i/>
          <w:iCs/>
        </w:rPr>
        <w:t>Journal of Applied Ecology</w:t>
      </w:r>
      <w:r w:rsidRPr="00471A34">
        <w:rPr>
          <w:rFonts w:cstheme="minorHAnsi"/>
        </w:rPr>
        <w:t xml:space="preserve">, </w:t>
      </w:r>
      <w:r w:rsidRPr="00471A34">
        <w:rPr>
          <w:rFonts w:cstheme="minorHAnsi"/>
          <w:i/>
          <w:iCs/>
        </w:rPr>
        <w:t>56</w:t>
      </w:r>
      <w:r w:rsidRPr="00471A34">
        <w:rPr>
          <w:rFonts w:cstheme="minorHAnsi"/>
        </w:rPr>
        <w:t>(8), 1882–1893. doi: 10.1111/1365-2664.13407</w:t>
      </w:r>
    </w:p>
    <w:p w:rsidR="00FE0127" w:rsidRPr="00471A34" w:rsidRDefault="004276D0" w:rsidP="00471A34">
      <w:pPr>
        <w:spacing w:line="240" w:lineRule="auto"/>
        <w:rPr>
          <w:rFonts w:cstheme="minorHAnsi"/>
        </w:rPr>
      </w:pPr>
      <w:r w:rsidRPr="00471A34">
        <w:rPr>
          <w:rFonts w:cstheme="minorHAnsi"/>
          <w:i/>
        </w:rPr>
        <w:fldChar w:fldCharType="end"/>
      </w:r>
    </w:p>
    <w:sectPr w:rsidR="00FE0127" w:rsidRPr="00471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D0"/>
    <w:rsid w:val="000F7E73"/>
    <w:rsid w:val="004276D0"/>
    <w:rsid w:val="00443CCE"/>
    <w:rsid w:val="00471A34"/>
    <w:rsid w:val="004C74EA"/>
    <w:rsid w:val="006B31DA"/>
    <w:rsid w:val="00756981"/>
    <w:rsid w:val="00844449"/>
    <w:rsid w:val="009C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BCC34-ECB4-4FEF-80E3-120658E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76D0"/>
    <w:rPr>
      <w:color w:val="0563C1" w:themeColor="hyperlink"/>
      <w:u w:val="single"/>
    </w:rPr>
  </w:style>
  <w:style w:type="paragraph" w:styleId="Bibliografia">
    <w:name w:val="Bibliography"/>
    <w:basedOn w:val="Normal"/>
    <w:next w:val="Normal"/>
    <w:uiPriority w:val="37"/>
    <w:unhideWhenUsed/>
    <w:rsid w:val="004276D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anacarneiro/Density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11932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FURG 2</cp:lastModifiedBy>
  <cp:revision>2</cp:revision>
  <dcterms:created xsi:type="dcterms:W3CDTF">2020-03-02T14:58:00Z</dcterms:created>
  <dcterms:modified xsi:type="dcterms:W3CDTF">2020-03-02T14:58:00Z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id="UTKZ3GO7"/&gt;&lt;style id="http://www.zotero.org/styles/journal-of-animal-ecology"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