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B7" w:rsidRPr="00CC5C7D" w:rsidRDefault="009E2AB7" w:rsidP="009E2AB7">
      <w:pPr>
        <w:spacing w:line="240" w:lineRule="auto"/>
        <w:rPr>
          <w:rFonts w:cstheme="minorHAnsi"/>
          <w:b/>
          <w:sz w:val="28"/>
          <w:szCs w:val="28"/>
          <w:u w:val="single"/>
          <w:lang w:val="en-US"/>
        </w:rPr>
      </w:pPr>
      <w:bookmarkStart w:id="0" w:name="_GoBack"/>
      <w:bookmarkEnd w:id="0"/>
      <w:r w:rsidRPr="00CC5C7D">
        <w:rPr>
          <w:rFonts w:cstheme="minorHAnsi"/>
          <w:b/>
          <w:sz w:val="28"/>
          <w:szCs w:val="28"/>
          <w:u w:val="single"/>
          <w:lang w:val="en-US"/>
        </w:rPr>
        <w:t>SUPPORTING INFORMATION</w:t>
      </w:r>
    </w:p>
    <w:p w:rsidR="009E2AB7" w:rsidRPr="00CC5C7D" w:rsidRDefault="009E2AB7" w:rsidP="009E2AB7">
      <w:pPr>
        <w:spacing w:line="240" w:lineRule="auto"/>
        <w:rPr>
          <w:rFonts w:cstheme="minorHAnsi"/>
          <w:b/>
          <w:sz w:val="28"/>
          <w:szCs w:val="28"/>
          <w:u w:val="single"/>
          <w:lang w:val="en-US"/>
        </w:rPr>
      </w:pPr>
      <w:r>
        <w:rPr>
          <w:rFonts w:cstheme="minorHAnsi"/>
          <w:b/>
          <w:sz w:val="28"/>
          <w:szCs w:val="28"/>
          <w:u w:val="single"/>
          <w:lang w:val="en-US"/>
        </w:rPr>
        <w:t>Appendix S5</w:t>
      </w:r>
    </w:p>
    <w:p w:rsidR="002552F3" w:rsidRDefault="002552F3" w:rsidP="002552F3">
      <w:pPr>
        <w:spacing w:line="240" w:lineRule="auto"/>
        <w:rPr>
          <w:rFonts w:cstheme="minorHAnsi"/>
          <w:b/>
          <w:sz w:val="28"/>
          <w:szCs w:val="28"/>
          <w:u w:val="single"/>
          <w:lang w:val="en-US"/>
        </w:rPr>
      </w:pPr>
      <w:r>
        <w:rPr>
          <w:rFonts w:cstheme="minorHAnsi"/>
          <w:b/>
          <w:sz w:val="28"/>
          <w:szCs w:val="28"/>
        </w:rPr>
        <w:t>A framework for mapping the distribution seabirds by integrating tracking, demography and phenology</w:t>
      </w:r>
    </w:p>
    <w:p w:rsidR="003A7B8D" w:rsidRPr="00CC5C7D" w:rsidRDefault="009E2AB7" w:rsidP="009E2AB7">
      <w:pPr>
        <w:spacing w:line="240" w:lineRule="auto"/>
        <w:rPr>
          <w:rFonts w:cstheme="minorHAnsi"/>
        </w:rPr>
      </w:pPr>
      <w:r w:rsidRPr="00CC5C7D">
        <w:rPr>
          <w:rFonts w:cstheme="minorHAnsi"/>
        </w:rPr>
        <w:t xml:space="preserve">More details can be found at </w:t>
      </w:r>
      <w:hyperlink r:id="rId4" w:history="1">
        <w:r w:rsidR="003A7B8D" w:rsidRPr="0084509E">
          <w:rPr>
            <w:rStyle w:val="Hyperlink"/>
            <w:rFonts w:cstheme="minorHAnsi"/>
          </w:rPr>
          <w:t>https://github.com/anacarneiro/DensityMaps</w:t>
        </w:r>
      </w:hyperlink>
      <w:r w:rsidR="003A7B8D">
        <w:rPr>
          <w:rStyle w:val="Hyperlink"/>
          <w:rFonts w:cstheme="minorHAnsi"/>
          <w:u w:val="none"/>
        </w:rPr>
        <w:t xml:space="preserve"> </w:t>
      </w:r>
      <w:r w:rsidR="003A7B8D" w:rsidRPr="003A7B8D">
        <w:rPr>
          <w:rStyle w:val="Hyperlink"/>
          <w:rFonts w:cstheme="minorHAnsi"/>
          <w:color w:val="auto"/>
          <w:u w:val="none"/>
        </w:rPr>
        <w:t>and</w:t>
      </w:r>
      <w:r w:rsidR="003A7B8D" w:rsidRPr="003A7B8D">
        <w:rPr>
          <w:rStyle w:val="Hyperlink"/>
          <w:rFonts w:cstheme="minorHAnsi"/>
          <w:color w:val="auto"/>
        </w:rPr>
        <w:t xml:space="preserve"> </w:t>
      </w:r>
      <w:hyperlink r:id="rId5" w:history="1">
        <w:r w:rsidR="003A7B8D" w:rsidRPr="0084509E">
          <w:rPr>
            <w:rStyle w:val="Hyperlink"/>
            <w:rFonts w:cstheme="minorHAnsi"/>
          </w:rPr>
          <w:t>https://github.com/lizziepear/seabird-phenology</w:t>
        </w:r>
      </w:hyperlink>
      <w:r w:rsidR="003A7B8D">
        <w:rPr>
          <w:rFonts w:cstheme="minorHAnsi"/>
        </w:rPr>
        <w:t xml:space="preserve"> </w:t>
      </w:r>
    </w:p>
    <w:p w:rsidR="00FE0127" w:rsidRDefault="00D4090F"/>
    <w:p w:rsidR="009E2AB7" w:rsidRPr="00471A34" w:rsidRDefault="009E2AB7" w:rsidP="009E2AB7">
      <w:pPr>
        <w:spacing w:line="240" w:lineRule="auto"/>
        <w:rPr>
          <w:rFonts w:cstheme="minorHAnsi"/>
          <w:i/>
        </w:rPr>
      </w:pPr>
      <w:r>
        <w:rPr>
          <w:rFonts w:cstheme="minorHAnsi"/>
          <w:i/>
        </w:rPr>
        <w:t>Estimating temporal changes in distribution by incorporating phenology</w:t>
      </w:r>
    </w:p>
    <w:p w:rsidR="009E2AB7" w:rsidRPr="009E2AB7" w:rsidRDefault="009E2AB7" w:rsidP="009E2AB7">
      <w:pPr>
        <w:spacing w:line="240" w:lineRule="auto"/>
        <w:rPr>
          <w:rFonts w:cstheme="minorHAnsi"/>
        </w:rPr>
      </w:pPr>
      <w:r w:rsidRPr="009E2AB7">
        <w:rPr>
          <w:rFonts w:cstheme="minorHAnsi"/>
          <w:color w:val="000000"/>
        </w:rPr>
        <w:t xml:space="preserve">The distribution of successful breeders started from the beginning of the breeding season and spanned over breeding and non-breeding periods, including the pre-laying, incubation, brood-guard, post-guard, and non-breeding phases. </w:t>
      </w:r>
      <w:r>
        <w:rPr>
          <w:rFonts w:cstheme="minorHAnsi"/>
        </w:rPr>
        <w:t>Utilization distributions</w:t>
      </w:r>
      <w:r w:rsidRPr="009E2AB7">
        <w:rPr>
          <w:rFonts w:cstheme="minorHAnsi"/>
        </w:rPr>
        <w:t xml:space="preserve"> during pre-laying, incubation and brood-guard were multiplied by 0.5 as one member of each pair is at the breeding colony at any given time during those stages </w:t>
      </w:r>
      <w:r w:rsidRPr="009E2AB7">
        <w:rPr>
          <w:rFonts w:cstheme="minorHAnsi"/>
        </w:rPr>
        <w:fldChar w:fldCharType="begin"/>
      </w:r>
      <w:r w:rsidRPr="009E2AB7">
        <w:rPr>
          <w:rFonts w:cstheme="minorHAnsi"/>
        </w:rPr>
        <w:instrText xml:space="preserve"> ADDIN ZOTERO_ITEM CSL_CITATION {"citationID":"rNsJ67Vu","properties":{"formattedCitation":"(Carneiro et al., 2016; Hedd, Montevecchi, Phillips, &amp; Fifield, 2014)","plainCitation":"(Carneiro et al., 2016; Hedd, Montevecchi, Phillips, &amp; Fifield, 2014)","noteIndex":0},"citationItems":[{"id":288,"uris":["http://zotero.org/users/5862115/items/HZEERQTA"],"uri":["http://zotero.org/users/5862115/items/HZEERQTA"],"itemData":{"id":288,"type":"article-journal","title":"Consistency in migration strategies and habitat preferences of brown skuas over two winters, a decade apart","container-title":"Marine Ecology Progress Series","page":"267-281","volume":"553","source":"www.int-res.com","abstract":"At-sea movements and activity patterns of brown skuas Stercorarius antarcticus lonnbergi from South Georgia were analysed in 2 winters, a decade apart, to examine the degree of consistency in migration strategies and habitat preferences during the non-breeding and pre-laying exodus periods. Oceanographic habitat preferences of tracked skuas were determined using a robust model accounting for availability. At the population level, brown skuas were broadly consistent in their choice of wintering areas and habitat preferences, although the distribution extended farther east in 2012 than in 2002. Skuas preferred areas associated with static oceanography (bathymetric features) both during the non-breeding and pre-laying periods, which may explain the consistency between years in habitat use. There was no significant effect of year on departure dates from South Georgia, but birds returned earlier to the colony in 2002. Migration schedules varied according to breeding status, with failed birds departing earlier than birds that bred successfully. Although failed birds travelled farther from the colony, there was little variation in dates of return. In general the timing of movements was similar between sexes, but females were more likely than males to engage in a pre-laying exodus. Brown skuas spent a much higher proportion of time sitting on the water than other seabirds during both the non-breeding and pre-laying exodus periods, and the number of flight bouts per day was surprisingly low. The selection of static features by brown skuas may indicate that skuas may have less flexibility to track environmental changes than species that use dynamic cues.","DOI":"10.3354/meps11781","ISSN":"0171-8630, 1616-1599","language":"en","author":[{"family":"Carneiro","given":"A. P. B."},{"family":"Manica","given":"Andrea"},{"family":"Clay","given":"Thomas A."},{"family":"Silk","given":"Janet R. D."},{"family":"King","given":"Michelle"},{"family":"Phillips","given":"R. A."}],"issued":{"date-parts":[["2016",7,14]]}}},{"id":291,"uris":["http://zotero.org/users/5862115/items/I5N9GHMG"],"uri":["http://zotero.org/users/5862115/items/I5N9GHMG"],"itemData":{"id":291,"type":"article-journal","title":"Seasonal sexual segregation by monomorphic sooty shearwaters &lt;i&gt;Puffinus griseus&lt;/i&gt; reflects different reproductive roles during the pre-laying period","container-title":"PLOS ONE","page":"e85572","volume":"9","issue":"1","source":"PLoS Journals","abstract":"Tracking technology has revolutionized knowledge of seabird movements; yet, few studies have examined sex differences in distribution and behavior of small to medium-sized, sexually-monomorphic seabirds. Application of bird-borne geolocation-immersion loggers revealed seasonal segregation in the sexually-monomorphic Sooty Shearwater Puffinus griseus, mainly in the pre-laying period, when there were clear differences in reproductive roles. Shearwaters first returned to the Falkland Islands on 27 Sept±8 d; males, on average, 8 d earlier than females. Prior to egg-laying, distribution at sea, colony attendance and behaviour depended on sex. Males foraged locally over the southern Patagonian Shelf and Burdwood Bank, spending mainly single days at sea and intervening nights in the burrow. Females, who flew for more of the day during this time, foraged in more distant areas of the northern Patagonian Shelf and Argentine Basin that were deeper, warmer and relatively more productive. Attendance of females at the colony was also more variable than that of males and, overall, males were present for significantly more of the pre-laying period (38 vs. 19% of time). Sex differences were reduced following egg-laying, with males and females using similar foraging areas and making trips of similar mean duration in incubation (7.6±2.7 d) and chick-rearing (1.4±1.3 d). Congruence continued into the non-breeding period, with both sexes showing similar patterns of activity and areas of occupancy in the NW Atlantic. Thus, seasonal changes in reproductive roles influenced patterns of sexual segregation; this occurred only early in the season, when male Sooty Shearwaters foraged locally, returning regularly to the colony to defend (or maintain) the burrow or the mate, while females concentrated on building resources for egg development in distant and relatively more productive waters.","DOI":"10.1371/journal.pone.0085572","ISSN":"1932-6203","journalAbbreviation":"PLOS ONE","language":"en","author":[{"family":"Hedd","given":"April"},{"family":"Montevecchi","given":"William A."},{"family":"Phillips","given":"R. A."},{"family":"Fifield","given":"David A."}],"issued":{"date-parts":[["2014",1,9]]}}}],"schema":"https://github.com/citation-style-language/schema/raw/master/csl-citation.json"} </w:instrText>
      </w:r>
      <w:r w:rsidRPr="009E2AB7">
        <w:rPr>
          <w:rFonts w:cstheme="minorHAnsi"/>
        </w:rPr>
        <w:fldChar w:fldCharType="separate"/>
      </w:r>
      <w:r w:rsidRPr="009E2AB7">
        <w:rPr>
          <w:rFonts w:cstheme="minorHAnsi"/>
        </w:rPr>
        <w:t>(Carneiro et al., 2016; Hedd, Montevecchi, Phillips, &amp; Fifield, 2014)</w:t>
      </w:r>
      <w:r w:rsidRPr="009E2AB7">
        <w:rPr>
          <w:rFonts w:cstheme="minorHAnsi"/>
        </w:rPr>
        <w:fldChar w:fldCharType="end"/>
      </w:r>
      <w:r w:rsidRPr="009E2AB7">
        <w:rPr>
          <w:rFonts w:cstheme="minorHAnsi"/>
        </w:rPr>
        <w:t>.</w:t>
      </w:r>
      <w:r>
        <w:rPr>
          <w:rFonts w:cstheme="minorHAnsi"/>
        </w:rPr>
        <w:t xml:space="preserve"> </w:t>
      </w:r>
      <w:r w:rsidRPr="009E2AB7">
        <w:rPr>
          <w:rFonts w:cstheme="minorHAnsi"/>
          <w:color w:val="000000"/>
        </w:rPr>
        <w:t xml:space="preserve">When tracking data were not available for the pre-laying phase we used incubation data as a replacement. </w:t>
      </w:r>
    </w:p>
    <w:p w:rsidR="009E2AB7" w:rsidRPr="009E2AB7" w:rsidRDefault="009E2AB7" w:rsidP="009E2AB7">
      <w:pPr>
        <w:spacing w:before="120" w:after="120" w:line="240" w:lineRule="auto"/>
        <w:rPr>
          <w:rFonts w:cstheme="minorHAnsi"/>
        </w:rPr>
      </w:pPr>
      <w:r w:rsidRPr="009E2AB7">
        <w:rPr>
          <w:rFonts w:cstheme="minorHAnsi"/>
          <w:color w:val="000000"/>
        </w:rPr>
        <w:t xml:space="preserve">For non-breeding adults we considered the non-breeding (sabbatical) distribution during both the breeding and non-breeding seasons. </w:t>
      </w:r>
      <w:r w:rsidRPr="009E2AB7">
        <w:rPr>
          <w:rFonts w:cstheme="minorHAnsi"/>
        </w:rPr>
        <w:t xml:space="preserve">As very few tracks were available for failed breeders, we gave this life-history stage the distribution of successful breeders until half-way through the breeding season, after which they took the distribution of adult non-breeders. This approach accounts for the tendency in many populations for failed breeders to leave the colonies much earlier than successful breeders </w:t>
      </w:r>
      <w:r w:rsidRPr="009E2AB7">
        <w:rPr>
          <w:rFonts w:cstheme="minorHAnsi"/>
        </w:rPr>
        <w:fldChar w:fldCharType="begin"/>
      </w:r>
      <w:r w:rsidR="003A7B8D">
        <w:rPr>
          <w:rFonts w:cstheme="minorHAnsi"/>
        </w:rPr>
        <w:instrText xml:space="preserve"> ADDIN ZOTERO_ITEM CSL_CITATION {"citationID":"T9uHJhGE","properties":{"formattedCitation":"(Phillips, Lewis, Gonz\\uc0\\u225{}lez-Sol\\uc0\\u237{}s, &amp; Daunt, 2017)","plainCitation":"(Phillips, Lewis, González-Solís, &amp; Daunt, 2017)","noteIndex":0},"citationItems":[{"id":265,"uris":["http://zotero.org/users/5862115/items/DGBNAPZK"],"uri":["http://zotero.org/users/5862115/items/DGBNAPZK"],"itemData":{"id":265,"type":"article-journal","title":"Causes and consequences of individual variability and specialization in foraging and migration strategies of seabirds","container-title":"Marine Ecology Progress Series","page":"117-150","volume":"578","source":"www.int-res.com","abstract":"Technological advances in recent years have seen an explosion of tracking and stable isotope studies of seabirds, often involving repeated measures from the same individuals. This wealth of new information has allowed the examination of the extensive variation among and within individuals in foraging and migration strategies (movements, habitat use, feeding behaviour, trophic status, etc.) in unprecedented detail. Variation is underpinned by key life-history or state variables such as sex, age, breeding stage and residual differences among individuals (termed ‘individual specialization’). This variation has major implications for our understanding of seabird ecology, because it affects the use of resources, level of intra-specific competition and niche partitioning. In addition, it determines the responses of individuals and populations to the environment and the susceptibility to major anthropogenic threats. Here we review the effects of season (breeding vs. nonbreeding periods), breeding stage, breeding status, age, sex and individual specialization on foraging and migration strategies, as well as the consequences for population dynamics and conservation.","DOI":"10.3354/meps12217","ISSN":"0171-8630, 1616-1599","language":"en","author":[{"family":"Phillips","given":"R. A."},{"family":"Lewis","given":"Sue"},{"family":"González-Solís","given":"Jacob"},{"family":"Daunt","given":"Francis"}],"issued":{"date-parts":[["2017",8,31]]}}}],"schema":"https://github.com/citation-style-language/schema/raw/master/csl-citation.json"} </w:instrText>
      </w:r>
      <w:r w:rsidRPr="009E2AB7">
        <w:rPr>
          <w:rFonts w:cstheme="minorHAnsi"/>
        </w:rPr>
        <w:fldChar w:fldCharType="separate"/>
      </w:r>
      <w:r w:rsidR="003A7B8D" w:rsidRPr="003A7B8D">
        <w:rPr>
          <w:rFonts w:ascii="Calibri" w:hAnsi="Calibri" w:cs="Calibri"/>
          <w:szCs w:val="24"/>
        </w:rPr>
        <w:t>(Phillips, Lewis, González-Solís, &amp; Daunt, 2017)</w:t>
      </w:r>
      <w:r w:rsidRPr="009E2AB7">
        <w:rPr>
          <w:rFonts w:cstheme="minorHAnsi"/>
        </w:rPr>
        <w:fldChar w:fldCharType="end"/>
      </w:r>
      <w:r w:rsidRPr="009E2AB7">
        <w:rPr>
          <w:rFonts w:cstheme="minorHAnsi"/>
        </w:rPr>
        <w:t xml:space="preserve">. For populations with breeding seasons spanning slightly longer than one year (e.g. wandering albatross, </w:t>
      </w:r>
      <w:r w:rsidRPr="009E2AB7">
        <w:rPr>
          <w:rFonts w:cstheme="minorHAnsi"/>
          <w:i/>
        </w:rPr>
        <w:t>Diomedea</w:t>
      </w:r>
      <w:r w:rsidRPr="009E2AB7">
        <w:rPr>
          <w:rFonts w:cstheme="minorHAnsi"/>
        </w:rPr>
        <w:t xml:space="preserve"> </w:t>
      </w:r>
      <w:r w:rsidRPr="009E2AB7">
        <w:rPr>
          <w:rFonts w:cstheme="minorHAnsi"/>
          <w:i/>
        </w:rPr>
        <w:t>exulans</w:t>
      </w:r>
      <w:r w:rsidRPr="009E2AB7">
        <w:rPr>
          <w:rFonts w:cstheme="minorHAnsi"/>
        </w:rPr>
        <w:t xml:space="preserve">), we truncated the post-brood period for successful breeders, removing the short time between completion of a full year since the start of pre-laying and fledging of the chick. Curtailing the breeding season to a single year enables the same framework to be used for all species regardless of breeding-season duration. </w:t>
      </w:r>
    </w:p>
    <w:p w:rsidR="009E2AB7" w:rsidRDefault="009E2AB7" w:rsidP="009E2AB7">
      <w:pPr>
        <w:spacing w:before="120" w:after="120" w:line="240" w:lineRule="auto"/>
        <w:rPr>
          <w:rFonts w:cstheme="minorHAnsi"/>
          <w:color w:val="000000"/>
        </w:rPr>
      </w:pPr>
      <w:r w:rsidRPr="009E2AB7">
        <w:rPr>
          <w:rFonts w:cstheme="minorHAnsi"/>
        </w:rPr>
        <w:t xml:space="preserve">The distributions of juveniles and immatures were estimated from UDs based on a seasonal combination of tracking data. In several cases, when tracking data were not available for juvenile and immature birds, the juvenile distribution was replaced </w:t>
      </w:r>
      <w:r w:rsidRPr="009E2AB7">
        <w:rPr>
          <w:rFonts w:cstheme="minorHAnsi"/>
          <w:color w:val="000000"/>
        </w:rPr>
        <w:t xml:space="preserve">by the distribution of adults during the non-breeding season, when birds are away from the colony and not constrained by central place foraging, which in many species is likely to be broadly similar to the distribution of juveniles </w:t>
      </w:r>
      <w:r w:rsidRPr="009E2AB7">
        <w:rPr>
          <w:rFonts w:cstheme="minorHAnsi"/>
          <w:color w:val="000000"/>
        </w:rPr>
        <w:fldChar w:fldCharType="begin"/>
      </w:r>
      <w:r w:rsidR="003A7B8D">
        <w:rPr>
          <w:rFonts w:cstheme="minorHAnsi"/>
          <w:color w:val="000000"/>
        </w:rPr>
        <w:instrText xml:space="preserve"> ADDIN ZOTERO_ITEM CSL_CITATION {"citationID":"vDB8ql8G","properties":{"formattedCitation":"(Clay et al., 2019; Weimerskirch, \\uc0\\u197{}kesson, &amp; Pinaud, 2006)","plainCitation":"(Clay et al., 2019; Weimerskirch, Åkesson, &amp; Pinaud, 2006)","noteIndex":0},"citationItems":[{"id":680,"uris":["http://zotero.org/users/5862115/items/97I27DME"],"uri":["http://zotero.org/users/5862115/items/97I27DME"],"itemData":{"id":680,"type":"article-journal","title":"A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A."}],"issued":{"date-parts":[["2019"]]}}},{"id":191,"uris":["http://zotero.org/users/5862115/items/EAZUEVXB"],"uri":["http://zotero.org/users/5862115/items/EAZUEVXB"],"itemData":{"id":191,"type":"article-journal","title":"Postnatal dispersal of wandering albatrosses &lt;i&gt;Diomedea exulans&lt;/i&gt;: Implications for the conservation of the species","container-title":"Journal of Avian Biology","page":"23-28","volume":"37","issue":"1","source":"Wiley Online Library","abstract":"Many large marine vertebrates are today threatened by human activities and it is therefore crucial to obtain information on their distribution and behaviour at sea. In particular little is known about the time necessary for juveniles to acquire the foraging skills of adults. We tracked 13 juvenile wandering albatrosses Diomedea exulans by satellite telemetry during their first year at sea. They covered an average distance of 184,000 km during the first year and restricted their dispersal to the unproductive waters of the subtropical Indian Ocean and Tasman Sea. This region of low wind velocities does not overlap with the foraging areas used by adults. After an innate phase of rapid dispersal with a fixed flight direction, young birds progressively increased their daily flight distances and attained adult flight efficiency within their first six months at sea. The complete overlap of the juveniles’ foraging ranges with major long-line fisheries in the subtropical waters constitutes a major threat that could jeopardize the long term recovery ability of populations of the endangered wandering albatross in the Indian Ocean.","DOI":"10.1111/j.2006.0908-8857.03675.x","ISSN":"1600-048X","title-short":"Postnatal dispersal of wandering albatrosses Diomedea exulans","language":"en","author":[{"family":"Weimerskirch","given":"Henri"},{"family":"Åkesson","given":"Susanne"},{"family":"Pinaud","given":"David"}],"issued":{"date-parts":[["2006",1,1]]}}}],"schema":"https://github.com/citation-style-language/schema/raw/master/csl-citation.json"} </w:instrText>
      </w:r>
      <w:r w:rsidRPr="009E2AB7">
        <w:rPr>
          <w:rFonts w:cstheme="minorHAnsi"/>
          <w:color w:val="000000"/>
        </w:rPr>
        <w:fldChar w:fldCharType="separate"/>
      </w:r>
      <w:r w:rsidR="003A7B8D" w:rsidRPr="003A7B8D">
        <w:rPr>
          <w:rFonts w:ascii="Calibri" w:hAnsi="Calibri" w:cs="Calibri"/>
          <w:szCs w:val="24"/>
        </w:rPr>
        <w:t>(Clay et al., 2019; Weimerskirch, Åkesson, &amp; Pinaud, 2006)</w:t>
      </w:r>
      <w:r w:rsidRPr="009E2AB7">
        <w:rPr>
          <w:rFonts w:cstheme="minorHAnsi"/>
          <w:color w:val="000000"/>
        </w:rPr>
        <w:fldChar w:fldCharType="end"/>
      </w:r>
      <w:r w:rsidRPr="009E2AB7">
        <w:rPr>
          <w:rFonts w:cstheme="minorHAnsi"/>
          <w:color w:val="000000"/>
          <w:lang w:val="fr-FR"/>
        </w:rPr>
        <w:t xml:space="preserve">. </w:t>
      </w:r>
      <w:r w:rsidRPr="009E2AB7">
        <w:rPr>
          <w:rFonts w:cstheme="minorHAnsi"/>
          <w:color w:val="000000"/>
        </w:rPr>
        <w:t xml:space="preserve">For immatures, unavailable data were substituted with the annual distribution of non-breeding adults as immatures (particularly the older ones) tend to visit the breeding grounds and may have similar strategies to those of breeders, at least during certain periods of the breeding season </w:t>
      </w:r>
      <w:r w:rsidRPr="009E2AB7">
        <w:rPr>
          <w:rFonts w:cstheme="minorHAnsi"/>
          <w:color w:val="000000"/>
        </w:rPr>
        <w:fldChar w:fldCharType="begin"/>
      </w:r>
      <w:r w:rsidRPr="009E2AB7">
        <w:rPr>
          <w:rFonts w:cstheme="minorHAnsi"/>
          <w:color w:val="000000"/>
        </w:rPr>
        <w:instrText xml:space="preserve"> ADDIN ZOTERO_ITEM CSL_CITATION {"citationID":"lLlAWTxE","properties":{"formattedCitation":"(Campioni, Dias, Granadeiro, &amp; Catry, 2019; Fayet et al., 2015; Jaeger et al., 2014; Weimerskirch, 2018)","plainCitation":"(Campioni, Dias, Granadeiro, &amp; Catry, 2019; Fayet et al., 2015; Jaeger et al., 2014; Weimerskirch, 2018)","noteIndex":0},"citationItems":[{"id":747,"uris":["http://zotero.org/users/5862115/items/5UEET8MK"],"uri":["http://zotero.org/users/5862115/items/5UEET8MK"],"itemData":{"id":747,"type":"article-journal","title":"An ontogenetic perspective on migratory strategy of a long-lived pelagic seabird: Timings and destinations change progressively during maturation","container-title":"Journal of Animal Ecology","volume":"0","issue":"0","source":"Wiley Online Library","abstract":"The processes that drive the ontogeny of migratory strategies in long-lived animals with slow maturation remain enigmatic. While some short-lived migrants are known or believed to repeat the same migratory patterns throughout their lives, little is known on the time required for immature long-lived migrants to progressively acquire adult-like migratory behaviours, or which aspects take longer to refine during the maturation process. Here, we studied the ontogeny of long-distance migratory strategies and related patterns of spatial distribution in a long-lived seabird species during the annual cycle. To do so, we deployed light-level geolocators on 4- to 9-year-old immature Cory's shearwaters (Calonectris borealis) and on breeding adults. We revealed that migratory timings and destinations of young shearwaters progressively changed with age. The effect of ageing was remarkably evident on spring migratory performance and phenology. Birds gradually shortened the duration of the non-breeding period by advancing departure date and reducing travelling time, which resulted in a sequential arrival at the colony of the various age contingents. Ageing immatures gradually changed from a more exploratory strategy to a more conservative way of exploiting resources, reducing both their year-round spatial spread across oceanic domains and the total distance travelled. Immatures always performed a trans-equatorial migration to the Southern Hemisphere, contrasting with 17% of the adults which remained in the North Atlantic year-round. Finally, during the breeding season immatures were widely dispersed through the North Atlantic reducing their overlap with breeding adults. Our long-term study provides empirical support to the hypothesis that in long-lived species, the refinement of migratory behaviour and year-round spatial distribution is a progressive process mediated by age and experience, where life stage constraints and competition for resources may also play a role. The emerging pattern suggests that for some avian taxa, the ontogeny of migratory strategy is a prolonged, complex and dynamic process.","URL":"https://besjournals.onlinelibrary.wiley.com/doi/abs/10.1111/1365-2656.13044","DOI":"10.1111/1365-2656.13044","ISSN":"1365-2656","title-short":"An ontogenetic perspective on migratory strategy of a long-lived pelagic seabird","language":"en","author":[{"family":"Campioni","given":"Letizia"},{"family":"Dias","given":"Maria Peixe"},{"family":"Granadeiro","given":"José Pedro"},{"family":"Catry","given":"Paulo"}],"issued":{"date-parts":[["2019"]]},"accessed":{"date-parts":[["2019",8,30]]}}},{"id":184,"uris":["http://zotero.org/users/5862115/items/ZZCU68H8"],"uri":["http://zotero.org/users/5862115/items/ZZCU68H8"],"itemData":{"id":184,"type":"article-journal","title":"Lower foraging efficiency in immatures drives spatial segregation with breeding adults in a long-lived pelagic seabird","container-title":"Animal Behaviour","page":"79-89","volume":"110","source":"ScienceDirect","abstract":"Competition and, ultimately, adaptive specialization are the major ecological forces behind spatial segregation in foraging distributions, and are commonly driven by size-related differences in competitiveness between individuals of different sex, age or social status. However, such segregation can also be observed in long-lived monomorphic species, often between immature and breeding individuals. In many of these species, individuals often forage in patchy and potentially unpredictable environments in which resources can be spread over large scales and be difficult to find, and efficient foraging may require advanced cognitive skills (for example in navigation and memory). Particularly in species with deferred breeding, experience rather than size may be an important driver of segregation and may lead to differences in competitiveness between young and old, but whether there is a relationship between age, foraging efficiency and spatial segregation has never been properly investigated. Here we tested this hypothesis by simultaneously tracking individuals at different life stages in a long-lived seabird, the Manx shearwater, Puffinus puffinus, during a period of central-place foraging around the colony, to investigate spatial segregation, and by measuring foraging efficiency by combining an ethoinformatics approach and mass gain. We found substantial spatial segregation between immature and breeding adults. Compared with adults, immatures gained less mass per unit of time spent foraging and foraged in less productive waters, suggesting lower foraging efficiency, probably because of inexperience.","DOI":"10.1016/j.anbehav.2015.09.008","ISSN":"0003-3472","journalAbbreviation":"Animal Behaviour","author":[{"family":"Fayet","given":"Annette L."},{"family":"Freeman","given":"Robin"},{"family":"Shoji","given":"Akiko"},{"family":"Padget","given":"Oliver"},{"family":"Perrins","given":"Chris M."},{"family":"Guilford","given":"Tim"}],"issued":{"date-parts":[["2015",12,1]]}}},{"id":281,"uris":["http://zotero.org/users/5862115/items/4MV2IR7J"],"uri":["http://zotero.org/users/5862115/items/4MV2IR7J"],"itemData":{"id":281,"type":"article-journal","title":"Age, sex, and breeding status shape a complex foraging pattern in an extremely long-lived seabird","container-title":"Ecology","page":"2324-2333","volume":"95","issue":"8","source":"Wiley Online Library","abstract":"Evidence of age-dependent changes in foraging behavior of free-ranging individuals is scarce, especially at older stages. Using the isotopic niche as a proxy of the trophic niche during both the breeding (blood) and inter-nesting (feather) periods, we report here empirical evidence for age-, gender-, and breeding status-dependent foraging ecology and examine its potential consequences on subsequent reproduction and survival in an extremely long-lived species, the Wandering Albatross (Diomedea exulans). Immature Wandering Albatrosses of both sexes forage in the subtropics (δ13C) and feed at the same trophic position (δ15N) as the adults. In contrast to immature birds, adult females forage, on average, at more northern latitudes than males, with both sexes feeding in the subtropics during the inter-nesting period, and males, not females, favoring subantarctic waters during incubation. In contrast to adult females, males show a unique pattern among birds and mammals of a continuous change with age in their main feeding habitat by foraging progressively farther south in colder waters during both the breeding and inter-nesting periods. In males, foraging at higher latitudes (lower feather δ13C values) is associated with a lower probability of breeding during the following years compared to other birds, but with no effect on their probability of surviving. Foraging in cold and windy waters may be linked to foraging impairment that might explain different life history trade-offs and lower investment in reproduction with age. This key point requires further longitudinal investigations and/or studies examining foraging success and the energy budget of birds feeding in different water masses.","DOI":"10.1890/13-1376.1","ISSN":"1939-9170","language":"en","author":[{"family":"Jaeger","given":"Audrey"},{"family":"Goutte","given":"Aurélie"},{"family":"Lecomte","given":"Vincent J."},{"family":"Richard","given":"Pierre"},{"family":"Chastel","given":"Olivier"},{"family":"Barbraud","given":"Christophe"},{"family":"Weimerskirch","given":"Henri"},{"family":"Cherel","given":"Yves"}],"issued":{"date-parts":[["2014",8,1]]}}},{"id":200,"uris":["http://zotero.org/users/5862115/items/4RRG4XPR"],"uri":["http://zotero.org/users/5862115/items/4RRG4XPR"],"itemData":{"id":200,"type":"article-journal","title":"Linking demographic processes and foraging ecology in wandering albatross—Conservation implications","container-title":"Journal of Animal Ecology","page":"945-955","volume":"87","issue":"4","source":"Wiley Online Library","abstract":"Population dynamics and foraging ecology are two fields of the population ecology that are generally studied separately. Yet, foraging determines allocation processes and therefore demography. Studies on wandering albatrosses Diomedea exulans over the past 50 years have contributed to better understand the links between population dynamics and foraging ecology. This article reviews how these two facets of population ecology have been combined to better understand ecological processes, but also have contributed fundamentally for the conservation of this long-lived threatened species. Wandering albatross research has combined a 50-year long-term study of marked individuals with two decades of tracking studies that have been initiated on this species, favoured by its large size and tameness. At all stages of their life history, the body mass of individuals plays a central role in allocation processes, in particular in influencing adult and juvenile survival, decisions to recruit into the population or to invest into provisioning the offspring or into maintenance. Strong age-related variations in demographic parameters are observed and are linked to age-related differences in foraging distribution and efficiency. Marked sex-specific differences in foraging distribution, foraging efficiency and changes in mass over lifetime are directly related to the strong sex-specific investment in breeding and survival trajectories of the two sexes, with body mass playing a pivotal role especially in males. Long-term study has allowed determining the sex-specific and age-specific demographic causes of population decline, and the tracking studies have been able to derive where and how these impacts occur, in particular the role of long-line fisheries.","DOI":"10.1111/1365-2656.12817","ISSN":"1365-2656","language":"en","author":[{"family":"Weimerskirch","given":"Henri"}],"issued":{"date-parts":[["2018",7,1]]}}}],"schema":"https://github.com/citation-style-language/schema/raw/master/csl-citation.json"} </w:instrText>
      </w:r>
      <w:r w:rsidRPr="009E2AB7">
        <w:rPr>
          <w:rFonts w:cstheme="minorHAnsi"/>
          <w:color w:val="000000"/>
        </w:rPr>
        <w:fldChar w:fldCharType="separate"/>
      </w:r>
      <w:r w:rsidRPr="009E2AB7">
        <w:rPr>
          <w:rFonts w:cstheme="minorHAnsi"/>
        </w:rPr>
        <w:t>(Campioni, Dias, Granadeiro, &amp; Catry, 2019; Fayet et al., 2015; Jaeger et al., 2014; Weimerskirch, 2018)</w:t>
      </w:r>
      <w:r w:rsidRPr="009E2AB7">
        <w:rPr>
          <w:rFonts w:cstheme="minorHAnsi"/>
          <w:color w:val="000000"/>
        </w:rPr>
        <w:fldChar w:fldCharType="end"/>
      </w:r>
      <w:r w:rsidRPr="009E2AB7">
        <w:rPr>
          <w:rFonts w:cstheme="minorHAnsi"/>
          <w:color w:val="000000"/>
        </w:rPr>
        <w:t xml:space="preserve">. </w:t>
      </w:r>
    </w:p>
    <w:p w:rsidR="003A7B8D" w:rsidRDefault="003A7B8D" w:rsidP="009E2AB7">
      <w:pPr>
        <w:spacing w:before="120" w:after="120" w:line="240" w:lineRule="auto"/>
        <w:rPr>
          <w:rFonts w:cstheme="minorHAnsi"/>
          <w:color w:val="000000"/>
        </w:rPr>
      </w:pPr>
    </w:p>
    <w:p w:rsidR="003A7B8D" w:rsidRPr="00123280" w:rsidRDefault="003A7B8D" w:rsidP="003A7B8D">
      <w:pPr>
        <w:spacing w:before="120" w:after="120" w:line="240" w:lineRule="auto"/>
        <w:rPr>
          <w:rFonts w:cstheme="minorHAnsi"/>
          <w:i/>
          <w:color w:val="000000"/>
        </w:rPr>
      </w:pPr>
      <w:r w:rsidRPr="00123280">
        <w:rPr>
          <w:rFonts w:cstheme="minorHAnsi"/>
          <w:i/>
          <w:color w:val="000000"/>
        </w:rPr>
        <w:t>References</w:t>
      </w:r>
    </w:p>
    <w:p w:rsidR="003A7B8D" w:rsidRPr="003A7B8D" w:rsidRDefault="003A7B8D" w:rsidP="003A7B8D">
      <w:pPr>
        <w:pStyle w:val="Bibliografia"/>
        <w:spacing w:line="240" w:lineRule="auto"/>
        <w:rPr>
          <w:rFonts w:ascii="Calibri" w:hAnsi="Calibri" w:cs="Calibri"/>
        </w:rPr>
      </w:pPr>
      <w:r>
        <w:rPr>
          <w:rFonts w:cstheme="minorHAnsi"/>
          <w:color w:val="000000"/>
        </w:rPr>
        <w:fldChar w:fldCharType="begin"/>
      </w:r>
      <w:r w:rsidRPr="00123280">
        <w:rPr>
          <w:rFonts w:cstheme="minorHAnsi"/>
          <w:color w:val="000000"/>
        </w:rPr>
        <w:instrText xml:space="preserve"> ADDIN ZOTERO_BIBL {"uncited":[],"omitted":[],"custom":[]} CSL_BIBLIOGRAPHY </w:instrText>
      </w:r>
      <w:r>
        <w:rPr>
          <w:rFonts w:cstheme="minorHAnsi"/>
          <w:color w:val="000000"/>
        </w:rPr>
        <w:fldChar w:fldCharType="separate"/>
      </w:r>
      <w:r w:rsidRPr="00123280">
        <w:rPr>
          <w:rFonts w:ascii="Calibri" w:hAnsi="Calibri" w:cs="Calibri"/>
        </w:rPr>
        <w:t xml:space="preserve">Campioni, L., Dias, M. P., Granadeiro, J. P., &amp; Catry, P. (2019). </w:t>
      </w:r>
      <w:r w:rsidRPr="003A7B8D">
        <w:rPr>
          <w:rFonts w:ascii="Calibri" w:hAnsi="Calibri" w:cs="Calibri"/>
        </w:rPr>
        <w:t xml:space="preserve">An ontogenetic perspective on migratory strategy of a long-lived pelagic seabird: Timings and destinations change progressively during maturation. </w:t>
      </w:r>
      <w:r w:rsidRPr="003A7B8D">
        <w:rPr>
          <w:rFonts w:ascii="Calibri" w:hAnsi="Calibri" w:cs="Calibri"/>
          <w:i/>
          <w:iCs/>
        </w:rPr>
        <w:t>Journal of Animal Ecology</w:t>
      </w:r>
      <w:r w:rsidRPr="003A7B8D">
        <w:rPr>
          <w:rFonts w:ascii="Calibri" w:hAnsi="Calibri" w:cs="Calibri"/>
        </w:rPr>
        <w:t xml:space="preserve">, </w:t>
      </w:r>
      <w:r w:rsidRPr="003A7B8D">
        <w:rPr>
          <w:rFonts w:ascii="Calibri" w:hAnsi="Calibri" w:cs="Calibri"/>
          <w:i/>
          <w:iCs/>
        </w:rPr>
        <w:t>0</w:t>
      </w:r>
      <w:r w:rsidRPr="003A7B8D">
        <w:rPr>
          <w:rFonts w:ascii="Calibri" w:hAnsi="Calibri" w:cs="Calibri"/>
        </w:rPr>
        <w:t>(0). doi: 10.1111/1365-2656.13044</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Carneiro, A. P. B., Manica, A., Clay, T. A., Silk, J. R. D., King, M., &amp; Phillips, R. A. (2016). Consistency in migration strategies and habitat preferences of brown skuas over two winters, a decade apart. </w:t>
      </w:r>
      <w:r w:rsidRPr="003A7B8D">
        <w:rPr>
          <w:rFonts w:ascii="Calibri" w:hAnsi="Calibri" w:cs="Calibri"/>
          <w:i/>
          <w:iCs/>
        </w:rPr>
        <w:t>Marine Ecology Progress Series</w:t>
      </w:r>
      <w:r w:rsidRPr="003A7B8D">
        <w:rPr>
          <w:rFonts w:ascii="Calibri" w:hAnsi="Calibri" w:cs="Calibri"/>
        </w:rPr>
        <w:t xml:space="preserve">, </w:t>
      </w:r>
      <w:r w:rsidRPr="003A7B8D">
        <w:rPr>
          <w:rFonts w:ascii="Calibri" w:hAnsi="Calibri" w:cs="Calibri"/>
          <w:i/>
          <w:iCs/>
        </w:rPr>
        <w:t>553</w:t>
      </w:r>
      <w:r w:rsidRPr="003A7B8D">
        <w:rPr>
          <w:rFonts w:ascii="Calibri" w:hAnsi="Calibri" w:cs="Calibri"/>
        </w:rPr>
        <w:t>, 267–281. doi: 10.3354/meps11781</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lastRenderedPageBreak/>
        <w:t xml:space="preserve">Clay, T. A., Small, C., Tuck, G. N., Pardo, D., Carneiro, A. P. B., Wood, A. G., … Phillips, R. A. (2019). A comprehensive large-scale assessment of fisheries bycatch risk to threatened seabird populations. </w:t>
      </w:r>
      <w:r w:rsidRPr="003A7B8D">
        <w:rPr>
          <w:rFonts w:ascii="Calibri" w:hAnsi="Calibri" w:cs="Calibri"/>
          <w:i/>
          <w:iCs/>
        </w:rPr>
        <w:t>Journal of Applied Ecology</w:t>
      </w:r>
      <w:r w:rsidRPr="003A7B8D">
        <w:rPr>
          <w:rFonts w:ascii="Calibri" w:hAnsi="Calibri" w:cs="Calibri"/>
        </w:rPr>
        <w:t xml:space="preserve">, </w:t>
      </w:r>
      <w:r w:rsidRPr="003A7B8D">
        <w:rPr>
          <w:rFonts w:ascii="Calibri" w:hAnsi="Calibri" w:cs="Calibri"/>
          <w:i/>
          <w:iCs/>
        </w:rPr>
        <w:t>56</w:t>
      </w:r>
      <w:r w:rsidRPr="003A7B8D">
        <w:rPr>
          <w:rFonts w:ascii="Calibri" w:hAnsi="Calibri" w:cs="Calibri"/>
        </w:rPr>
        <w:t>(8), 1882–1893. doi: 10.1111/1365-2664.13407</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Fayet, A. L., Freeman, R., Shoji, A., Padget, O., Perrins, C. M., &amp; Guilford, T. (2015). Lower foraging efficiency in immatures drives spatial segregation with breeding adults in a long-lived pelagic seabird. </w:t>
      </w:r>
      <w:r w:rsidRPr="003A7B8D">
        <w:rPr>
          <w:rFonts w:ascii="Calibri" w:hAnsi="Calibri" w:cs="Calibri"/>
          <w:i/>
          <w:iCs/>
        </w:rPr>
        <w:t>Animal Behaviour</w:t>
      </w:r>
      <w:r w:rsidRPr="003A7B8D">
        <w:rPr>
          <w:rFonts w:ascii="Calibri" w:hAnsi="Calibri" w:cs="Calibri"/>
        </w:rPr>
        <w:t xml:space="preserve">, </w:t>
      </w:r>
      <w:r w:rsidRPr="003A7B8D">
        <w:rPr>
          <w:rFonts w:ascii="Calibri" w:hAnsi="Calibri" w:cs="Calibri"/>
          <w:i/>
          <w:iCs/>
        </w:rPr>
        <w:t>110</w:t>
      </w:r>
      <w:r w:rsidRPr="003A7B8D">
        <w:rPr>
          <w:rFonts w:ascii="Calibri" w:hAnsi="Calibri" w:cs="Calibri"/>
        </w:rPr>
        <w:t>, 79–89. doi: 10.1016/j.anbehav.2015.09.008</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Hedd, A., Montevecchi, W. A., Phillips, R. A., &amp; Fifield, D. A. (2014). Seasonal sexual segregation by monomorphic sooty shearwaters </w:t>
      </w:r>
      <w:r w:rsidRPr="003A7B8D">
        <w:rPr>
          <w:rFonts w:ascii="Calibri" w:hAnsi="Calibri" w:cs="Calibri"/>
          <w:i/>
          <w:iCs/>
        </w:rPr>
        <w:t>Puffinus griseus</w:t>
      </w:r>
      <w:r w:rsidRPr="003A7B8D">
        <w:rPr>
          <w:rFonts w:ascii="Calibri" w:hAnsi="Calibri" w:cs="Calibri"/>
        </w:rPr>
        <w:t xml:space="preserve"> reflects different reproductive roles during the pre-laying period. </w:t>
      </w:r>
      <w:r w:rsidRPr="003A7B8D">
        <w:rPr>
          <w:rFonts w:ascii="Calibri" w:hAnsi="Calibri" w:cs="Calibri"/>
          <w:i/>
          <w:iCs/>
        </w:rPr>
        <w:t>PLOS ONE</w:t>
      </w:r>
      <w:r w:rsidRPr="003A7B8D">
        <w:rPr>
          <w:rFonts w:ascii="Calibri" w:hAnsi="Calibri" w:cs="Calibri"/>
        </w:rPr>
        <w:t xml:space="preserve">, </w:t>
      </w:r>
      <w:r w:rsidRPr="003A7B8D">
        <w:rPr>
          <w:rFonts w:ascii="Calibri" w:hAnsi="Calibri" w:cs="Calibri"/>
          <w:i/>
          <w:iCs/>
        </w:rPr>
        <w:t>9</w:t>
      </w:r>
      <w:r w:rsidRPr="003A7B8D">
        <w:rPr>
          <w:rFonts w:ascii="Calibri" w:hAnsi="Calibri" w:cs="Calibri"/>
        </w:rPr>
        <w:t>(1), e85572. doi: 10.1371/journal.pone.0085572</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Jaeger, A., Goutte, A., Lecomte, V. J., Richard, P., Chastel, O., Barbraud, C., … Cherel, Y. (2014). Age, sex, and breeding status shape a complex foraging pattern in an extremely long-lived seabird. </w:t>
      </w:r>
      <w:r w:rsidRPr="003A7B8D">
        <w:rPr>
          <w:rFonts w:ascii="Calibri" w:hAnsi="Calibri" w:cs="Calibri"/>
          <w:i/>
          <w:iCs/>
        </w:rPr>
        <w:t>Ecology</w:t>
      </w:r>
      <w:r w:rsidRPr="003A7B8D">
        <w:rPr>
          <w:rFonts w:ascii="Calibri" w:hAnsi="Calibri" w:cs="Calibri"/>
        </w:rPr>
        <w:t xml:space="preserve">, </w:t>
      </w:r>
      <w:r w:rsidRPr="003A7B8D">
        <w:rPr>
          <w:rFonts w:ascii="Calibri" w:hAnsi="Calibri" w:cs="Calibri"/>
          <w:i/>
          <w:iCs/>
        </w:rPr>
        <w:t>95</w:t>
      </w:r>
      <w:r w:rsidRPr="003A7B8D">
        <w:rPr>
          <w:rFonts w:ascii="Calibri" w:hAnsi="Calibri" w:cs="Calibri"/>
        </w:rPr>
        <w:t>(8), 2324–2333. doi: 10.1890/13-1376.1</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Phillips, R. A., Lewis, S., González-Solís, J., &amp; Daunt, F. (2017). Causes and consequences of individual variability and specialization in foraging and migration strategies of seabirds. </w:t>
      </w:r>
      <w:r w:rsidRPr="003A7B8D">
        <w:rPr>
          <w:rFonts w:ascii="Calibri" w:hAnsi="Calibri" w:cs="Calibri"/>
          <w:i/>
          <w:iCs/>
        </w:rPr>
        <w:t>Marine Ecology Progress Series</w:t>
      </w:r>
      <w:r w:rsidRPr="003A7B8D">
        <w:rPr>
          <w:rFonts w:ascii="Calibri" w:hAnsi="Calibri" w:cs="Calibri"/>
        </w:rPr>
        <w:t xml:space="preserve">, </w:t>
      </w:r>
      <w:r w:rsidRPr="003A7B8D">
        <w:rPr>
          <w:rFonts w:ascii="Calibri" w:hAnsi="Calibri" w:cs="Calibri"/>
          <w:i/>
          <w:iCs/>
        </w:rPr>
        <w:t>578</w:t>
      </w:r>
      <w:r w:rsidRPr="003A7B8D">
        <w:rPr>
          <w:rFonts w:ascii="Calibri" w:hAnsi="Calibri" w:cs="Calibri"/>
        </w:rPr>
        <w:t>, 117–150. doi: 10.3354/meps12217</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Weimerskirch, H. (2018). Linking demographic processes and foraging ecology in wandering albatross—Conservation implications. </w:t>
      </w:r>
      <w:r w:rsidRPr="003A7B8D">
        <w:rPr>
          <w:rFonts w:ascii="Calibri" w:hAnsi="Calibri" w:cs="Calibri"/>
          <w:i/>
          <w:iCs/>
        </w:rPr>
        <w:t>Journal of Animal Ecology</w:t>
      </w:r>
      <w:r w:rsidRPr="003A7B8D">
        <w:rPr>
          <w:rFonts w:ascii="Calibri" w:hAnsi="Calibri" w:cs="Calibri"/>
        </w:rPr>
        <w:t xml:space="preserve">, </w:t>
      </w:r>
      <w:r w:rsidRPr="003A7B8D">
        <w:rPr>
          <w:rFonts w:ascii="Calibri" w:hAnsi="Calibri" w:cs="Calibri"/>
          <w:i/>
          <w:iCs/>
        </w:rPr>
        <w:t>87</w:t>
      </w:r>
      <w:r w:rsidRPr="003A7B8D">
        <w:rPr>
          <w:rFonts w:ascii="Calibri" w:hAnsi="Calibri" w:cs="Calibri"/>
        </w:rPr>
        <w:t>(4), 945–955. doi: 10.1111/1365-2656.12817</w:t>
      </w:r>
    </w:p>
    <w:p w:rsidR="003A7B8D" w:rsidRPr="003A7B8D" w:rsidRDefault="003A7B8D" w:rsidP="003A7B8D">
      <w:pPr>
        <w:pStyle w:val="Bibliografia"/>
        <w:spacing w:line="240" w:lineRule="auto"/>
        <w:rPr>
          <w:rFonts w:ascii="Calibri" w:hAnsi="Calibri" w:cs="Calibri"/>
        </w:rPr>
      </w:pPr>
      <w:r w:rsidRPr="003A7B8D">
        <w:rPr>
          <w:rFonts w:ascii="Calibri" w:hAnsi="Calibri" w:cs="Calibri"/>
        </w:rPr>
        <w:t xml:space="preserve">Weimerskirch, H., Åkesson, S., &amp; Pinaud, D. (2006). Postnatal dispersal of wandering albatrosses </w:t>
      </w:r>
      <w:r w:rsidRPr="003A7B8D">
        <w:rPr>
          <w:rFonts w:ascii="Calibri" w:hAnsi="Calibri" w:cs="Calibri"/>
          <w:i/>
          <w:iCs/>
        </w:rPr>
        <w:t>Diomedea exulans</w:t>
      </w:r>
      <w:r w:rsidRPr="003A7B8D">
        <w:rPr>
          <w:rFonts w:ascii="Calibri" w:hAnsi="Calibri" w:cs="Calibri"/>
        </w:rPr>
        <w:t xml:space="preserve">: Implications for the conservation of the species. </w:t>
      </w:r>
      <w:r w:rsidRPr="003A7B8D">
        <w:rPr>
          <w:rFonts w:ascii="Calibri" w:hAnsi="Calibri" w:cs="Calibri"/>
          <w:i/>
          <w:iCs/>
        </w:rPr>
        <w:t>Journal of Avian Biology</w:t>
      </w:r>
      <w:r w:rsidRPr="003A7B8D">
        <w:rPr>
          <w:rFonts w:ascii="Calibri" w:hAnsi="Calibri" w:cs="Calibri"/>
        </w:rPr>
        <w:t xml:space="preserve">, </w:t>
      </w:r>
      <w:r w:rsidRPr="003A7B8D">
        <w:rPr>
          <w:rFonts w:ascii="Calibri" w:hAnsi="Calibri" w:cs="Calibri"/>
          <w:i/>
          <w:iCs/>
        </w:rPr>
        <w:t>37</w:t>
      </w:r>
      <w:r w:rsidRPr="003A7B8D">
        <w:rPr>
          <w:rFonts w:ascii="Calibri" w:hAnsi="Calibri" w:cs="Calibri"/>
        </w:rPr>
        <w:t>(1), 23–28. doi: 10.1111/j.2006.0908-8857.03675.x</w:t>
      </w:r>
    </w:p>
    <w:p w:rsidR="003A7B8D" w:rsidRDefault="003A7B8D" w:rsidP="003A7B8D">
      <w:pPr>
        <w:spacing w:before="120" w:after="120" w:line="240" w:lineRule="auto"/>
        <w:rPr>
          <w:rFonts w:cstheme="minorHAnsi"/>
          <w:color w:val="000000"/>
        </w:rPr>
      </w:pPr>
      <w:r>
        <w:rPr>
          <w:rFonts w:cstheme="minorHAnsi"/>
          <w:color w:val="000000"/>
        </w:rPr>
        <w:fldChar w:fldCharType="end"/>
      </w:r>
    </w:p>
    <w:p w:rsidR="009E2AB7" w:rsidRPr="009E2AB7" w:rsidRDefault="009E2AB7" w:rsidP="009E2AB7">
      <w:pPr>
        <w:spacing w:line="240" w:lineRule="auto"/>
        <w:rPr>
          <w:rFonts w:cstheme="minorHAnsi"/>
        </w:rPr>
      </w:pPr>
    </w:p>
    <w:sectPr w:rsidR="009E2AB7" w:rsidRPr="009E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7"/>
    <w:rsid w:val="00123280"/>
    <w:rsid w:val="002552F3"/>
    <w:rsid w:val="003A7B8D"/>
    <w:rsid w:val="00756981"/>
    <w:rsid w:val="00844449"/>
    <w:rsid w:val="009E2AB7"/>
    <w:rsid w:val="00D4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2885C-5FA6-4DD6-AD0B-A7259BA3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E2AB7"/>
    <w:rPr>
      <w:color w:val="0563C1" w:themeColor="hyperlink"/>
      <w:u w:val="single"/>
    </w:rPr>
  </w:style>
  <w:style w:type="paragraph" w:styleId="Bibliografia">
    <w:name w:val="Bibliography"/>
    <w:basedOn w:val="Normal"/>
    <w:next w:val="Normal"/>
    <w:uiPriority w:val="37"/>
    <w:unhideWhenUsed/>
    <w:rsid w:val="003A7B8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lizziepear/seabird-phenology" TargetMode="External"/><Relationship Id="rId4" Type="http://schemas.openxmlformats.org/officeDocument/2006/relationships/hyperlink" Target="https://github.com/anacarneiro/Density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4629</Words>
  <Characters>25000</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FURG 2</cp:lastModifiedBy>
  <cp:revision>2</cp:revision>
  <dcterms:created xsi:type="dcterms:W3CDTF">2020-03-02T14:58:00Z</dcterms:created>
  <dcterms:modified xsi:type="dcterms:W3CDTF">2020-03-02T14:58:00Z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id="adOMTSPZ"/&gt;&lt;style id="http://www.zotero.org/styles/journal-of-applied-ecology" hasBibliography="1" bibliographyStyleHasBeenSet="1"/&gt;&lt;prefs&gt;&lt;pref name="fieldType" value="Field"/&gt;&lt;/prefs&gt;&lt;/data&gt;</vt:lpwstr>
  </property>
</Properties>
</file>