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F" w:rsidRDefault="000D0F2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Appendix A</w:t>
      </w:r>
    </w:p>
    <w:p w:rsidR="00BB097F" w:rsidRDefault="000D0F2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Methodology for estimating the degree of mutilation as a percentage of bill linear length</w:t>
      </w:r>
    </w:p>
    <w:p w:rsidR="00BB097F" w:rsidRDefault="00BB09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BB097F" w:rsidRDefault="000D0F2F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</w:rPr>
        <w:t xml:space="preserve">From photographs, when available, we estimated the degree of mutilation as a percentage of bill linear length (the straight-line distance from the beginning of the gape along the commissure of the two mandibles to the tip of the bill), based on the known </w:t>
      </w:r>
      <w:proofErr w:type="spellStart"/>
      <w:r>
        <w:rPr>
          <w:rFonts w:ascii="Times New Roman" w:hAnsi="Times New Roman" w:cs="Times New Roman"/>
        </w:rPr>
        <w:t>culmen</w:t>
      </w:r>
      <w:proofErr w:type="spellEnd"/>
      <w:r>
        <w:rPr>
          <w:rFonts w:ascii="Times New Roman" w:hAnsi="Times New Roman" w:cs="Times New Roman"/>
        </w:rPr>
        <w:t xml:space="preserve"> length for each species, using the software ImageJ </w:t>
      </w:r>
      <w:bookmarkStart w:id="1" w:name="__Fieldmark__4048_3114232460"/>
      <w:r>
        <w:rPr>
          <w:rFonts w:ascii="Times New Roman" w:hAnsi="Times New Roman" w:cs="Times New Roman"/>
          <w:noProof/>
        </w:rPr>
        <w:t>(Schneider et al., 2012)</w:t>
      </w:r>
      <w:bookmarkEnd w:id="1"/>
      <w:r>
        <w:rPr>
          <w:rFonts w:ascii="Times New Roman" w:hAnsi="Times New Roman" w:cs="Times New Roman"/>
        </w:rPr>
        <w:t xml:space="preserve">. </w:t>
      </w:r>
    </w:p>
    <w:p w:rsidR="00BB097F" w:rsidRDefault="00BB09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BB097F" w:rsidRDefault="000D0F2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each photo was scaled based on the known </w:t>
      </w:r>
      <w:r w:rsidR="009D66B3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culmen</w:t>
      </w:r>
      <w:proofErr w:type="spellEnd"/>
      <w:r>
        <w:rPr>
          <w:rFonts w:ascii="Times New Roman" w:hAnsi="Times New Roman" w:cs="Times New Roman"/>
        </w:rPr>
        <w:t xml:space="preserve"> length (CL; the distance from the base of the feathers at the top of the bill to the bill tip) for each species obtained from the </w:t>
      </w:r>
      <w:r w:rsidR="009D66B3">
        <w:rPr>
          <w:rFonts w:ascii="Times New Roman" w:hAnsi="Times New Roman" w:cs="Times New Roman"/>
        </w:rPr>
        <w:t xml:space="preserve">bibliography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Figure A1, Table A1</w:t>
      </w:r>
      <w:r>
        <w:rPr>
          <w:rFonts w:ascii="Times New Roman" w:hAnsi="Times New Roman" w:cs="Times New Roman"/>
        </w:rPr>
        <w:t xml:space="preserve">). Subsequently, base-nostril length (BNL; the distance along the nasolabial groove from the base of the feathers to the beginning of the </w:t>
      </w:r>
      <w:proofErr w:type="spellStart"/>
      <w:r>
        <w:rPr>
          <w:rFonts w:ascii="Times New Roman" w:hAnsi="Times New Roman" w:cs="Times New Roman"/>
        </w:rPr>
        <w:t>naricorn</w:t>
      </w:r>
      <w:proofErr w:type="spellEnd"/>
      <w:r>
        <w:rPr>
          <w:rFonts w:ascii="Times New Roman" w:hAnsi="Times New Roman" w:cs="Times New Roman"/>
        </w:rPr>
        <w:t>) and bill actual length (BAL; the distance along the commissure from the gape to the distal end of the damaged mandible(s)) were estimated (</w:t>
      </w:r>
      <w:r>
        <w:rPr>
          <w:rFonts w:ascii="Times New Roman" w:hAnsi="Times New Roman" w:cs="Times New Roman"/>
          <w:b/>
        </w:rPr>
        <w:t>Figure A1</w:t>
      </w:r>
      <w:r>
        <w:rPr>
          <w:rFonts w:ascii="Times New Roman" w:hAnsi="Times New Roman" w:cs="Times New Roman"/>
        </w:rPr>
        <w:t xml:space="preserve">). When both mandibles were missing, BAL was calculated based on the BNL. Then, the degree of mutilation was estimated as (BAL/BLL) × 100. </w:t>
      </w:r>
    </w:p>
    <w:p w:rsidR="00BB097F" w:rsidRDefault="00BB09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BB097F" w:rsidRDefault="000D0F2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val="pt-BR" w:eastAsia="pt-BR"/>
        </w:rPr>
        <w:drawing>
          <wp:inline distT="0" distB="1905" distL="0" distR="0" wp14:anchorId="159EDF62" wp14:editId="0AEC7418">
            <wp:extent cx="4038600" cy="356044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7F" w:rsidRDefault="000D0F2F" w:rsidP="00D4191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A1.</w:t>
      </w:r>
      <w:r>
        <w:rPr>
          <w:rFonts w:ascii="Times New Roman" w:hAnsi="Times New Roman" w:cs="Times New Roman"/>
        </w:rPr>
        <w:t xml:space="preserve"> Measurements used to quantify the degree of mutilation, as a percentage of bill linear length. Each photo was scaled based on the known </w:t>
      </w:r>
      <w:r w:rsidR="009D66B3">
        <w:rPr>
          <w:rFonts w:ascii="Times New Roman" w:hAnsi="Times New Roman" w:cs="Times New Roman"/>
        </w:rPr>
        <w:t xml:space="preserve">mean </w:t>
      </w:r>
      <w:r>
        <w:rPr>
          <w:rFonts w:ascii="Times New Roman" w:hAnsi="Times New Roman" w:cs="Times New Roman"/>
        </w:rPr>
        <w:t xml:space="preserve">value of </w:t>
      </w:r>
      <w:proofErr w:type="spellStart"/>
      <w:r>
        <w:rPr>
          <w:rFonts w:ascii="Times New Roman" w:hAnsi="Times New Roman" w:cs="Times New Roman"/>
        </w:rPr>
        <w:t>culmen</w:t>
      </w:r>
      <w:proofErr w:type="spellEnd"/>
      <w:r>
        <w:rPr>
          <w:rFonts w:ascii="Times New Roman" w:hAnsi="Times New Roman" w:cs="Times New Roman"/>
        </w:rPr>
        <w:t xml:space="preserve"> length (CL) for each species (Table 1). Subsequently, bill linear length (BLL), base-nostril length (BNL) and bill actual length (BAL) were estimated. When both mandibles were missing, BAL was calculated based on the BNL. Photo: Julián </w:t>
      </w:r>
      <w:proofErr w:type="spellStart"/>
      <w:r>
        <w:rPr>
          <w:rFonts w:ascii="Times New Roman" w:hAnsi="Times New Roman" w:cs="Times New Roman"/>
        </w:rPr>
        <w:t>Bastida</w:t>
      </w:r>
      <w:proofErr w:type="spellEnd"/>
      <w:r>
        <w:rPr>
          <w:rFonts w:ascii="Times New Roman" w:hAnsi="Times New Roman" w:cs="Times New Roman"/>
        </w:rPr>
        <w:t>.</w:t>
      </w:r>
    </w:p>
    <w:p w:rsidR="00BB097F" w:rsidRDefault="00BB097F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BB097F" w:rsidRDefault="000D0F2F" w:rsidP="00D41914">
      <w:pPr>
        <w:spacing w:after="0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lastRenderedPageBreak/>
        <w:t>Table A1.</w:t>
      </w:r>
      <w:r>
        <w:rPr>
          <w:rFonts w:ascii="Times New Roman" w:hAnsi="Times New Roman" w:cs="Times New Roman"/>
        </w:rPr>
        <w:t xml:space="preserve"> Morphometric measures used to estimate the degree of mutilation for each species. Mean </w:t>
      </w:r>
      <w:proofErr w:type="spellStart"/>
      <w:r>
        <w:rPr>
          <w:rFonts w:ascii="Times New Roman" w:hAnsi="Times New Roman" w:cs="Times New Roman"/>
        </w:rPr>
        <w:t>culmen</w:t>
      </w:r>
      <w:proofErr w:type="spellEnd"/>
      <w:r>
        <w:rPr>
          <w:rFonts w:ascii="Times New Roman" w:hAnsi="Times New Roman" w:cs="Times New Roman"/>
        </w:rPr>
        <w:t xml:space="preserve"> length (CL) was obtained from the </w:t>
      </w:r>
      <w:r w:rsidR="009D66B3">
        <w:rPr>
          <w:rFonts w:ascii="Times New Roman" w:hAnsi="Times New Roman" w:cs="Times New Roman"/>
        </w:rPr>
        <w:t xml:space="preserve">bibliography, </w:t>
      </w:r>
      <w:r>
        <w:rPr>
          <w:rFonts w:ascii="Times New Roman" w:hAnsi="Times New Roman" w:cs="Times New Roman"/>
        </w:rPr>
        <w:t xml:space="preserve">while bill linear length (BLL) and base-nostril length (BNL) were estimated with the software ImageJ. Threat status according to IUCN (2019): EN – Endangered, VU – </w:t>
      </w:r>
      <w:r>
        <w:rPr>
          <w:rFonts w:ascii="Times New Roman" w:hAnsi="Times New Roman" w:cs="Times New Roman"/>
          <w:lang w:val="en-US"/>
        </w:rPr>
        <w:t>Vulnerable, LC – Least Concern.</w:t>
      </w:r>
    </w:p>
    <w:tbl>
      <w:tblPr>
        <w:tblStyle w:val="Tabelacomgrade"/>
        <w:tblW w:w="9134" w:type="dxa"/>
        <w:tblLook w:val="04A0" w:firstRow="1" w:lastRow="0" w:firstColumn="1" w:lastColumn="0" w:noHBand="0" w:noVBand="1"/>
      </w:tblPr>
      <w:tblGrid>
        <w:gridCol w:w="4281"/>
        <w:gridCol w:w="992"/>
        <w:gridCol w:w="851"/>
        <w:gridCol w:w="708"/>
        <w:gridCol w:w="2302"/>
      </w:tblGrid>
      <w:tr w:rsidR="00BB097F">
        <w:trPr>
          <w:trHeight w:val="170"/>
        </w:trPr>
        <w:tc>
          <w:tcPr>
            <w:tcW w:w="4281" w:type="dxa"/>
            <w:tcBorders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 (threat status)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BLL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BNL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BB097F">
        <w:trPr>
          <w:trHeight w:val="170"/>
        </w:trPr>
        <w:tc>
          <w:tcPr>
            <w:tcW w:w="42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royal albatross (EN)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97F" w:rsidRDefault="00BB09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97F" w:rsidRDefault="00D41914" w:rsidP="00277AD0">
            <w:pPr>
              <w:spacing w:after="0" w:line="360" w:lineRule="auto"/>
              <w:contextualSpacing/>
            </w:pPr>
            <w:bookmarkStart w:id="2" w:name="__Fieldmark__4092_3114232460"/>
            <w:r w:rsidRPr="00D41914">
              <w:rPr>
                <w:rFonts w:ascii="Times New Roman" w:hAnsi="Times New Roman" w:cs="Times New Roman"/>
                <w:noProof/>
                <w:sz w:val="24"/>
                <w:szCs w:val="24"/>
              </w:rPr>
              <w:t>Jiménez et al., 2012</w:t>
            </w:r>
            <w:bookmarkEnd w:id="2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royal albatross (VU)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BB09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D41914" w:rsidP="00277AD0">
            <w:pPr>
              <w:spacing w:after="0" w:line="360" w:lineRule="auto"/>
              <w:contextualSpacing/>
            </w:pPr>
            <w:bookmarkStart w:id="3" w:name="__Fieldmark__4100_3114232460"/>
            <w:r w:rsidRPr="00D41914">
              <w:rPr>
                <w:rFonts w:ascii="Times New Roman" w:hAnsi="Times New Roman" w:cs="Times New Roman"/>
                <w:noProof/>
                <w:sz w:val="24"/>
                <w:szCs w:val="24"/>
              </w:rPr>
              <w:t>Jiménez et al., 2012</w:t>
            </w:r>
            <w:bookmarkEnd w:id="3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Black-browed albatross (LC)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 w:rsidP="009D66B3">
            <w:pPr>
              <w:spacing w:after="0" w:line="360" w:lineRule="auto"/>
              <w:contextualSpacing/>
            </w:pPr>
            <w:bookmarkStart w:id="4" w:name="__Fieldmark__4109_311423246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Jiménez et al., 2012</w:t>
            </w:r>
            <w:bookmarkEnd w:id="4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Atlantic yellow-nosed albatross (EN)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BB09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 w:rsidP="009D66B3">
            <w:pPr>
              <w:spacing w:after="0" w:line="360" w:lineRule="auto"/>
              <w:contextualSpacing/>
            </w:pPr>
            <w:bookmarkStart w:id="5" w:name="__Fieldmark__4117_311423246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Jiménez et al., 2012</w:t>
            </w:r>
            <w:bookmarkEnd w:id="5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giant petrel (LC)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BB09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 w:rsidP="009D66B3">
            <w:pPr>
              <w:spacing w:after="0" w:line="360" w:lineRule="auto"/>
              <w:contextualSpacing/>
            </w:pPr>
            <w:bookmarkStart w:id="6" w:name="__Fieldmark__4125_311423246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Jiménez et al., 2012</w:t>
            </w:r>
            <w:bookmarkEnd w:id="6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Spectacled petrel (VU)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BB09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 w:rsidP="009D66B3">
            <w:pPr>
              <w:spacing w:after="0" w:line="360" w:lineRule="auto"/>
              <w:contextualSpacing/>
            </w:pPr>
            <w:bookmarkStart w:id="7" w:name="__Fieldmark__4133_311423246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Jiménez et al., 2012</w:t>
            </w:r>
            <w:bookmarkEnd w:id="7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Manx shearwater (LC)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BB09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97F" w:rsidRDefault="000D0F2F" w:rsidP="009D66B3">
            <w:pPr>
              <w:spacing w:after="0" w:line="360" w:lineRule="auto"/>
              <w:contextualSpacing/>
            </w:pPr>
            <w:bookmarkStart w:id="8" w:name="__Fieldmark__4141_311423246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Bull et al., 2005</w:t>
            </w:r>
            <w:bookmarkEnd w:id="8"/>
          </w:p>
        </w:tc>
      </w:tr>
      <w:tr w:rsidR="00BB097F">
        <w:trPr>
          <w:trHeight w:val="170"/>
        </w:trPr>
        <w:tc>
          <w:tcPr>
            <w:tcW w:w="4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Cory’s shearwater (LC)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97F" w:rsidRDefault="000D0F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97F" w:rsidRDefault="000D0F2F" w:rsidP="009D66B3">
            <w:pPr>
              <w:spacing w:after="0" w:line="360" w:lineRule="auto"/>
              <w:contextualSpacing/>
            </w:pPr>
            <w:bookmarkStart w:id="9" w:name="__Fieldmark__4154_311423246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Navarro et al., 2009</w:t>
            </w:r>
            <w:bookmarkEnd w:id="9"/>
          </w:p>
        </w:tc>
      </w:tr>
    </w:tbl>
    <w:p w:rsidR="00BB097F" w:rsidRDefault="00BB097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097F" w:rsidRDefault="00BB097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97F" w:rsidRDefault="000D0F2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77AD0" w:rsidRPr="00277AD0" w:rsidRDefault="00277AD0" w:rsidP="00277AD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bookmarkStart w:id="10" w:name="__Fieldmark__4253_3114232460"/>
      <w:r w:rsidRPr="00277AD0">
        <w:rPr>
          <w:rFonts w:ascii="Times New Roman" w:hAnsi="Times New Roman" w:cs="Times New Roman"/>
          <w:noProof/>
          <w:sz w:val="24"/>
          <w:szCs w:val="24"/>
        </w:rPr>
        <w:t>Bull, L.S., Bell, B.E.N.D., Pledger, S., 2005. Patterns of size variation in the shearwater genus Puffinus. Mar. Ornithol. 33, 27–39.</w:t>
      </w:r>
    </w:p>
    <w:p w:rsidR="00277AD0" w:rsidRPr="00277AD0" w:rsidRDefault="00277AD0" w:rsidP="00277AD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AD0">
        <w:rPr>
          <w:rFonts w:ascii="Times New Roman" w:hAnsi="Times New Roman" w:cs="Times New Roman"/>
          <w:noProof/>
          <w:sz w:val="24"/>
          <w:szCs w:val="24"/>
        </w:rPr>
        <w:t>Jiménez, S., Domingo, A., Abreu, M., Brazeiro, A., 2012. Risk assessment and relative impactsof Uruguayan pelagic longliners on seabird. Aquat. Living Resour. 25, 281–295. https://doi.org/10.1051/alr/2012026</w:t>
      </w:r>
    </w:p>
    <w:p w:rsidR="00277AD0" w:rsidRPr="00277AD0" w:rsidRDefault="00277AD0" w:rsidP="00277AD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AD0">
        <w:rPr>
          <w:rFonts w:ascii="Times New Roman" w:hAnsi="Times New Roman" w:cs="Times New Roman"/>
          <w:noProof/>
          <w:sz w:val="24"/>
          <w:szCs w:val="24"/>
        </w:rPr>
        <w:t>Navarro, J., Kliontzopoulou, A., González-Solís, J., 2009. Sexual dimorphism in bill morphology and feeding ecology in Cory’s shearwater (Calonectris diomedea). Zoology 112, 128–138. https://doi.org/10.1016/j.zool.2008.05.001</w:t>
      </w:r>
    </w:p>
    <w:p w:rsidR="00277AD0" w:rsidRPr="00277AD0" w:rsidRDefault="00277AD0" w:rsidP="00277AD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277AD0">
        <w:rPr>
          <w:rFonts w:ascii="Times New Roman" w:hAnsi="Times New Roman" w:cs="Times New Roman"/>
          <w:noProof/>
          <w:sz w:val="24"/>
          <w:szCs w:val="24"/>
        </w:rPr>
        <w:t>Schneider, C.A., Rasband, W.S., Eliceiri, K.W., 2012. NIH Image to ImageJ: 25 years of image analysis. Nat. Methods 9, 671–675.</w:t>
      </w:r>
    </w:p>
    <w:bookmarkEnd w:id="10"/>
    <w:p w:rsidR="00BB097F" w:rsidRPr="00277AD0" w:rsidRDefault="00BB097F" w:rsidP="00277AD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lang w:val="pt-BR"/>
        </w:rPr>
      </w:pPr>
    </w:p>
    <w:p w:rsidR="00BB097F" w:rsidRDefault="00BB097F" w:rsidP="00277AD0">
      <w:pPr>
        <w:widowControl w:val="0"/>
        <w:spacing w:after="0" w:line="360" w:lineRule="auto"/>
        <w:ind w:left="480" w:hanging="480"/>
        <w:jc w:val="both"/>
      </w:pPr>
    </w:p>
    <w:sectPr w:rsidR="00BB097F">
      <w:footerReference w:type="default" r:id="rId9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EC" w:rsidRDefault="00EA78EC">
      <w:pPr>
        <w:spacing w:after="0" w:line="240" w:lineRule="auto"/>
      </w:pPr>
      <w:r>
        <w:separator/>
      </w:r>
    </w:p>
  </w:endnote>
  <w:endnote w:type="continuationSeparator" w:id="0">
    <w:p w:rsidR="00EA78EC" w:rsidRDefault="00E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902872"/>
      <w:docPartObj>
        <w:docPartGallery w:val="Page Numbers (Bottom of Page)"/>
        <w:docPartUnique/>
      </w:docPartObj>
    </w:sdtPr>
    <w:sdtEndPr/>
    <w:sdtContent>
      <w:p w:rsidR="00BB097F" w:rsidRDefault="000D0F2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B7AB6">
          <w:rPr>
            <w:noProof/>
          </w:rPr>
          <w:t>1</w:t>
        </w:r>
        <w:r>
          <w:fldChar w:fldCharType="end"/>
        </w:r>
      </w:p>
    </w:sdtContent>
  </w:sdt>
  <w:p w:rsidR="00BB097F" w:rsidRDefault="00BB09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EC" w:rsidRDefault="00EA78EC">
      <w:pPr>
        <w:spacing w:after="0" w:line="240" w:lineRule="auto"/>
      </w:pPr>
      <w:r>
        <w:separator/>
      </w:r>
    </w:p>
  </w:footnote>
  <w:footnote w:type="continuationSeparator" w:id="0">
    <w:p w:rsidR="00EA78EC" w:rsidRDefault="00EA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B097F"/>
    <w:rsid w:val="000D0F2F"/>
    <w:rsid w:val="00277AD0"/>
    <w:rsid w:val="002E0B28"/>
    <w:rsid w:val="003E46EB"/>
    <w:rsid w:val="009D66B3"/>
    <w:rsid w:val="00AF0819"/>
    <w:rsid w:val="00BB097F"/>
    <w:rsid w:val="00C50B87"/>
    <w:rsid w:val="00CB351F"/>
    <w:rsid w:val="00D41914"/>
    <w:rsid w:val="00D97A67"/>
    <w:rsid w:val="00E06808"/>
    <w:rsid w:val="00EA78EC"/>
    <w:rsid w:val="00F95EF6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BF15CB"/>
  </w:style>
  <w:style w:type="character" w:styleId="Nmerodelinha">
    <w:name w:val="line number"/>
    <w:basedOn w:val="Fontepargpadro"/>
    <w:uiPriority w:val="99"/>
    <w:semiHidden/>
    <w:unhideWhenUsed/>
    <w:qFormat/>
    <w:rsid w:val="00BF15CB"/>
  </w:style>
  <w:style w:type="character" w:styleId="Refdecomentrio">
    <w:name w:val="annotation reference"/>
    <w:basedOn w:val="Fontepargpadro"/>
    <w:uiPriority w:val="99"/>
    <w:semiHidden/>
    <w:unhideWhenUsed/>
    <w:qFormat/>
    <w:rsid w:val="0036753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6753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6753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753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uiPriority w:val="99"/>
    <w:unhideWhenUsed/>
    <w:rsid w:val="00BF15CB"/>
    <w:pPr>
      <w:tabs>
        <w:tab w:val="center" w:pos="4513"/>
        <w:tab w:val="right" w:pos="9026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6753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675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753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BF15CB"/>
  </w:style>
  <w:style w:type="character" w:styleId="Nmerodelinha">
    <w:name w:val="line number"/>
    <w:basedOn w:val="Fontepargpadro"/>
    <w:uiPriority w:val="99"/>
    <w:semiHidden/>
    <w:unhideWhenUsed/>
    <w:qFormat/>
    <w:rsid w:val="00BF15CB"/>
  </w:style>
  <w:style w:type="character" w:styleId="Refdecomentrio">
    <w:name w:val="annotation reference"/>
    <w:basedOn w:val="Fontepargpadro"/>
    <w:uiPriority w:val="99"/>
    <w:semiHidden/>
    <w:unhideWhenUsed/>
    <w:qFormat/>
    <w:rsid w:val="0036753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6753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6753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753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uiPriority w:val="99"/>
    <w:unhideWhenUsed/>
    <w:rsid w:val="00BF15CB"/>
    <w:pPr>
      <w:tabs>
        <w:tab w:val="center" w:pos="4513"/>
        <w:tab w:val="right" w:pos="9026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6753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675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753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4F39-D007-4765-B5E7-72B312E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Gianuca Neto, Dimas</dc:creator>
  <cp:lastModifiedBy>LAATM</cp:lastModifiedBy>
  <cp:revision>2</cp:revision>
  <dcterms:created xsi:type="dcterms:W3CDTF">2021-06-27T13:40:00Z</dcterms:created>
  <dcterms:modified xsi:type="dcterms:W3CDTF">2021-06-27T13:40:00Z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Exeter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http://www.zotero.org/styles/biological-conservation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http://www.zotero.org/styles/aquatic-conservation</vt:lpwstr>
  </property>
  <property fmtid="{D5CDD505-2E9C-101B-9397-08002B2CF9AE}" pid="10" name="Mendeley Recent Style Id 1_1">
    <vt:lpwstr>http://www.zotero.org/styles/biological-conservation</vt:lpwstr>
  </property>
  <property fmtid="{D5CDD505-2E9C-101B-9397-08002B2CF9AE}" pid="11" name="Mendeley Recent Style Id 2_1">
    <vt:lpwstr>http://www.zotero.org/styles/harvard-cite-them-right</vt:lpwstr>
  </property>
  <property fmtid="{D5CDD505-2E9C-101B-9397-08002B2CF9AE}" pid="12" name="Mendeley Recent Style Id 3_1">
    <vt:lpwstr>http://www.zotero.org/styles/ieee</vt:lpwstr>
  </property>
  <property fmtid="{D5CDD505-2E9C-101B-9397-08002B2CF9AE}" pid="13" name="Mendeley Recent Style Id 4_1">
    <vt:lpwstr>http://www.zotero.org/styles/journal-of-animal-ecology</vt:lpwstr>
  </property>
  <property fmtid="{D5CDD505-2E9C-101B-9397-08002B2CF9AE}" pid="14" name="Mendeley Recent Style Id 5_1">
    <vt:lpwstr>http://www.zotero.org/styles/modern-humanities-research-association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Id 7_1">
    <vt:lpwstr>http://www.zotero.org/styles/oceanologia</vt:lpwstr>
  </property>
  <property fmtid="{D5CDD505-2E9C-101B-9397-08002B2CF9AE}" pid="17" name="Mendeley Recent Style Id 8_1">
    <vt:lpwstr>http://www.zotero.org/styles/oecologia</vt:lpwstr>
  </property>
  <property fmtid="{D5CDD505-2E9C-101B-9397-08002B2CF9AE}" pid="18" name="Mendeley Recent Style Id 9_1">
    <vt:lpwstr>http://www.zotero.org/styles/proceedings-of-the-royal-society-b</vt:lpwstr>
  </property>
  <property fmtid="{D5CDD505-2E9C-101B-9397-08002B2CF9AE}" pid="19" name="Mendeley Recent Style Name 0_1">
    <vt:lpwstr>Aquatic Conservation: Marine and Freshwater Ecosystems</vt:lpwstr>
  </property>
  <property fmtid="{D5CDD505-2E9C-101B-9397-08002B2CF9AE}" pid="20" name="Mendeley Recent Style Name 1_1">
    <vt:lpwstr>Biological Conservation</vt:lpwstr>
  </property>
  <property fmtid="{D5CDD505-2E9C-101B-9397-08002B2CF9AE}" pid="21" name="Mendeley Recent Style Name 2_1">
    <vt:lpwstr>Cite Them Right 10th edition - Harvard</vt:lpwstr>
  </property>
  <property fmtid="{D5CDD505-2E9C-101B-9397-08002B2CF9AE}" pid="22" name="Mendeley Recent Style Name 3_1">
    <vt:lpwstr>IEEE</vt:lpwstr>
  </property>
  <property fmtid="{D5CDD505-2E9C-101B-9397-08002B2CF9AE}" pid="23" name="Mendeley Recent Style Name 4_1">
    <vt:lpwstr>Journal of Animal Ecology</vt:lpwstr>
  </property>
  <property fmtid="{D5CDD505-2E9C-101B-9397-08002B2CF9AE}" pid="24" name="Mendeley Recent Style Name 5_1">
    <vt:lpwstr>Modern Humanities Research Association 3rd edition (note with bibliography)</vt:lpwstr>
  </property>
  <property fmtid="{D5CDD505-2E9C-101B-9397-08002B2CF9AE}" pid="25" name="Mendeley Recent Style Name 6_1">
    <vt:lpwstr>Modern Language Association 8th edition</vt:lpwstr>
  </property>
  <property fmtid="{D5CDD505-2E9C-101B-9397-08002B2CF9AE}" pid="26" name="Mendeley Recent Style Name 7_1">
    <vt:lpwstr>Oceanologia</vt:lpwstr>
  </property>
  <property fmtid="{D5CDD505-2E9C-101B-9397-08002B2CF9AE}" pid="27" name="Mendeley Recent Style Name 8_1">
    <vt:lpwstr>Oecologia</vt:lpwstr>
  </property>
  <property fmtid="{D5CDD505-2E9C-101B-9397-08002B2CF9AE}" pid="28" name="Mendeley Recent Style Name 9_1">
    <vt:lpwstr>Proceedings of the Royal Society B</vt:lpwstr>
  </property>
  <property fmtid="{D5CDD505-2E9C-101B-9397-08002B2CF9AE}" pid="29" name="Mendeley Unique User Id_1">
    <vt:lpwstr>b87e811f-21e5-3247-ade9-b31b22141b16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