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3B" w:rsidRDefault="00B30E57">
      <w:pPr>
        <w:spacing w:line="480" w:lineRule="auto"/>
        <w:jc w:val="center"/>
        <w:rPr>
          <w:rFonts w:ascii="Arial" w:hAnsi="Arial"/>
        </w:rPr>
      </w:pPr>
      <w:bookmarkStart w:id="0" w:name="_GoBack"/>
      <w:bookmarkEnd w:id="0"/>
      <w:r>
        <w:rPr>
          <w:rFonts w:ascii="Arial" w:hAnsi="Arial" w:cs="Arial"/>
          <w:b/>
          <w:lang w:val="en-GB"/>
        </w:rPr>
        <w:t>Habitat use of nesting female olive ridley turtles (</w:t>
      </w:r>
      <w:r>
        <w:rPr>
          <w:rFonts w:ascii="Arial" w:hAnsi="Arial" w:cs="Arial"/>
          <w:b/>
          <w:i/>
          <w:lang w:val="en-GB"/>
        </w:rPr>
        <w:t>Lepidochelys olivacea</w:t>
      </w:r>
      <w:r>
        <w:rPr>
          <w:rFonts w:ascii="Arial" w:hAnsi="Arial" w:cs="Arial"/>
          <w:b/>
          <w:lang w:val="en-GB"/>
        </w:rPr>
        <w:t>) inferred by stable isotopes in eggs</w:t>
      </w:r>
    </w:p>
    <w:p w:rsidR="00AB3E3B" w:rsidRDefault="00AB3E3B">
      <w:pPr>
        <w:spacing w:line="480" w:lineRule="auto"/>
        <w:jc w:val="center"/>
        <w:rPr>
          <w:rFonts w:ascii="Arial" w:hAnsi="Arial" w:cs="Arial"/>
          <w:sz w:val="20"/>
          <w:szCs w:val="20"/>
          <w:lang w:val="pt-BR"/>
        </w:rPr>
      </w:pPr>
    </w:p>
    <w:p w:rsidR="00AB3E3B" w:rsidRDefault="00B30E57">
      <w:pPr>
        <w:spacing w:line="480" w:lineRule="auto"/>
        <w:jc w:val="center"/>
        <w:rPr>
          <w:rFonts w:ascii="Arial" w:hAnsi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Pâmela Soares de Castro Echevenguá, Roberta Petitet</w:t>
      </w:r>
      <w:r>
        <w:rPr>
          <w:rFonts w:ascii="Arial" w:hAnsi="Arial" w:cs="Arial"/>
          <w:sz w:val="20"/>
          <w:szCs w:val="20"/>
          <w:vertAlign w:val="superscript"/>
          <w:lang w:val="pt-BR"/>
        </w:rPr>
        <w:t>*</w:t>
      </w:r>
      <w:r>
        <w:rPr>
          <w:rFonts w:ascii="Arial" w:hAnsi="Arial" w:cs="Arial"/>
          <w:sz w:val="20"/>
          <w:szCs w:val="20"/>
          <w:lang w:val="pt-BR"/>
        </w:rPr>
        <w:t>, Jaqueline C. Castilhos, Fábio Lira C. Oliveira, Leandro Bugoni</w:t>
      </w:r>
    </w:p>
    <w:p w:rsidR="00AB3E3B" w:rsidRDefault="00B30E57">
      <w:pPr>
        <w:spacing w:line="480" w:lineRule="auto"/>
        <w:jc w:val="center"/>
        <w:rPr>
          <w:rFonts w:ascii="Arial" w:hAnsi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>*</w:t>
      </w:r>
      <w:r>
        <w:rPr>
          <w:rFonts w:ascii="Arial" w:hAnsi="Arial" w:cs="Arial"/>
          <w:sz w:val="20"/>
          <w:szCs w:val="20"/>
        </w:rPr>
        <w:t xml:space="preserve">Corresponding author: </w:t>
      </w:r>
      <w:r>
        <w:rPr>
          <w:rFonts w:ascii="Arial" w:hAnsi="Arial" w:cs="Arial"/>
          <w:sz w:val="20"/>
          <w:szCs w:val="20"/>
        </w:rPr>
        <w:t>rpetitet@hotmail.com</w:t>
      </w:r>
    </w:p>
    <w:p w:rsidR="00AB3E3B" w:rsidRDefault="00AB3E3B">
      <w:pPr>
        <w:rPr>
          <w:rFonts w:ascii="Arial" w:hAnsi="Arial"/>
          <w:sz w:val="20"/>
          <w:szCs w:val="20"/>
        </w:rPr>
      </w:pPr>
    </w:p>
    <w:p w:rsidR="00AB3E3B" w:rsidRDefault="00B30E57"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-35560</wp:posOffset>
            </wp:positionH>
            <wp:positionV relativeFrom="paragraph">
              <wp:posOffset>-44450</wp:posOffset>
            </wp:positionV>
            <wp:extent cx="6332220" cy="7044690"/>
            <wp:effectExtent l="0" t="0" r="0" b="0"/>
            <wp:wrapTopAndBottom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E3B" w:rsidRDefault="00AB3E3B"/>
    <w:p w:rsidR="00AB3E3B" w:rsidRDefault="00B30E57">
      <w:p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Fig. S1.</w:t>
      </w:r>
      <w:r>
        <w:rPr>
          <w:rFonts w:ascii="Arial" w:hAnsi="Arial"/>
        </w:rPr>
        <w:t xml:space="preserve"> Bayesian generalized linear model of carbon and nitrogen values, </w:t>
      </w:r>
      <w:r>
        <w:rPr>
          <w:rFonts w:ascii="Arial" w:hAnsi="Arial"/>
          <w:i/>
        </w:rPr>
        <w:t>δ</w:t>
      </w:r>
      <w:r>
        <w:rPr>
          <w:rFonts w:ascii="Arial" w:hAnsi="Arial"/>
          <w:vertAlign w:val="superscript"/>
        </w:rPr>
        <w:t>13</w:t>
      </w:r>
      <w:r>
        <w:rPr>
          <w:rFonts w:ascii="Arial" w:hAnsi="Arial"/>
        </w:rPr>
        <w:t xml:space="preserve">C and </w:t>
      </w:r>
      <w:r>
        <w:rPr>
          <w:rFonts w:ascii="Arial" w:hAnsi="Arial"/>
          <w:i/>
        </w:rPr>
        <w:t>δ</w:t>
      </w:r>
      <w:r>
        <w:rPr>
          <w:rFonts w:ascii="Arial" w:hAnsi="Arial"/>
          <w:vertAlign w:val="superscript"/>
        </w:rPr>
        <w:t>15</w:t>
      </w:r>
      <w:r>
        <w:rPr>
          <w:rFonts w:ascii="Arial" w:hAnsi="Arial"/>
        </w:rPr>
        <w:t>N, of components of fresh eggs of female olive ridley sea turtles (</w:t>
      </w:r>
      <w:r>
        <w:rPr>
          <w:rFonts w:ascii="Arial" w:hAnsi="Arial"/>
          <w:i/>
        </w:rPr>
        <w:t>Lepidochelys olivacea</w:t>
      </w:r>
      <w:r>
        <w:rPr>
          <w:rFonts w:ascii="Arial" w:hAnsi="Arial"/>
        </w:rPr>
        <w:t>) (</w:t>
      </w:r>
      <w:r>
        <w:rPr>
          <w:rFonts w:ascii="Arial" w:hAnsi="Arial"/>
          <w:i/>
          <w:iCs/>
        </w:rPr>
        <w:t xml:space="preserve">n </w:t>
      </w:r>
      <w:r>
        <w:rPr>
          <w:rFonts w:ascii="Arial" w:hAnsi="Arial"/>
        </w:rPr>
        <w:t xml:space="preserve">= 29) from northeastern Brazil. In the lower right </w:t>
      </w:r>
      <w:r>
        <w:rPr>
          <w:rFonts w:ascii="Arial" w:hAnsi="Arial"/>
        </w:rPr>
        <w:t>corner are the equations of the relationship between each component.</w:t>
      </w:r>
    </w:p>
    <w:p w:rsidR="00AB3E3B" w:rsidRDefault="00AB3E3B"/>
    <w:p w:rsidR="00AB3E3B" w:rsidRDefault="00B30E57">
      <w:pPr>
        <w:spacing w:line="480" w:lineRule="auto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121920</wp:posOffset>
            </wp:positionH>
            <wp:positionV relativeFrom="paragraph">
              <wp:posOffset>-38735</wp:posOffset>
            </wp:positionV>
            <wp:extent cx="6332220" cy="2402205"/>
            <wp:effectExtent l="0" t="0" r="0" b="0"/>
            <wp:wrapTopAndBottom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Fig. S2.</w:t>
      </w:r>
      <w:r>
        <w:rPr>
          <w:rFonts w:ascii="Arial" w:hAnsi="Arial"/>
        </w:rPr>
        <w:t xml:space="preserve"> </w:t>
      </w:r>
      <w:r>
        <w:rPr>
          <w:rFonts w:ascii="Arial" w:eastAsia="Times New Roman" w:hAnsi="Arial" w:cs="Arial"/>
        </w:rPr>
        <w:t xml:space="preserve">Bayesian generalized linear model of the carbon and nitrogen values, </w:t>
      </w:r>
      <w:r>
        <w:rPr>
          <w:rFonts w:ascii="Arial" w:eastAsia="Times New Roman" w:hAnsi="Arial" w:cs="Arial"/>
          <w:i/>
          <w:color w:val="1B1C20"/>
        </w:rPr>
        <w:t>δ</w:t>
      </w:r>
      <w:r>
        <w:rPr>
          <w:rFonts w:ascii="Arial" w:eastAsia="Times New Roman" w:hAnsi="Arial" w:cs="Arial"/>
          <w:color w:val="1B1C20"/>
          <w:vertAlign w:val="superscript"/>
        </w:rPr>
        <w:t>13</w:t>
      </w:r>
      <w:r>
        <w:rPr>
          <w:rFonts w:ascii="Arial" w:eastAsia="Times New Roman" w:hAnsi="Arial" w:cs="Arial"/>
          <w:color w:val="1B1C20"/>
        </w:rPr>
        <w:t xml:space="preserve">C and </w:t>
      </w:r>
      <w:r>
        <w:rPr>
          <w:rFonts w:ascii="Arial" w:eastAsia="Times New Roman" w:hAnsi="Arial" w:cs="Arial"/>
          <w:i/>
          <w:color w:val="1B1C20"/>
        </w:rPr>
        <w:t>δ</w:t>
      </w:r>
      <w:r>
        <w:rPr>
          <w:rFonts w:ascii="Arial" w:eastAsia="Times New Roman" w:hAnsi="Arial" w:cs="Arial"/>
          <w:color w:val="1B1C20"/>
          <w:vertAlign w:val="superscript"/>
        </w:rPr>
        <w:t>15</w:t>
      </w:r>
      <w:r>
        <w:rPr>
          <w:rFonts w:ascii="Arial" w:eastAsia="Times New Roman" w:hAnsi="Arial" w:cs="Arial"/>
          <w:color w:val="1B1C20"/>
        </w:rPr>
        <w:t>N,</w:t>
      </w:r>
      <w:r>
        <w:rPr>
          <w:rFonts w:ascii="Arial" w:eastAsia="Times New Roman" w:hAnsi="Arial" w:cs="Arial"/>
        </w:rPr>
        <w:t xml:space="preserve"> of unhatched egg components of female olive ridley sea turtles (</w:t>
      </w:r>
      <w:r>
        <w:rPr>
          <w:rFonts w:ascii="Arial" w:eastAsia="Times New Roman" w:hAnsi="Arial" w:cs="Arial"/>
          <w:i/>
          <w:iCs/>
        </w:rPr>
        <w:t>Lepidochelys olivacea)</w:t>
      </w:r>
      <w:r>
        <w:rPr>
          <w:rFonts w:ascii="Arial" w:eastAsia="Times New Roman" w:hAnsi="Arial" w:cs="Arial"/>
        </w:rPr>
        <w:t xml:space="preserve"> (</w:t>
      </w:r>
      <w:r>
        <w:rPr>
          <w:rFonts w:ascii="Arial" w:eastAsia="Times New Roman" w:hAnsi="Arial" w:cs="Arial"/>
          <w:i/>
          <w:iCs/>
        </w:rPr>
        <w:t>n</w:t>
      </w:r>
      <w:r>
        <w:rPr>
          <w:rFonts w:ascii="Arial" w:eastAsia="Times New Roman" w:hAnsi="Arial" w:cs="Arial"/>
          <w:i/>
          <w:iCs/>
          <w:vertAlign w:val="subscript"/>
        </w:rPr>
        <w:t>nes</w:t>
      </w:r>
      <w:r>
        <w:rPr>
          <w:rFonts w:ascii="Arial" w:eastAsia="Times New Roman" w:hAnsi="Arial" w:cs="Arial"/>
          <w:i/>
          <w:iCs/>
          <w:vertAlign w:val="subscript"/>
        </w:rPr>
        <w:t>t</w:t>
      </w:r>
      <w:r>
        <w:rPr>
          <w:rFonts w:ascii="Arial" w:eastAsia="Times New Roman" w:hAnsi="Arial" w:cs="Arial"/>
        </w:rPr>
        <w:t xml:space="preserve"> = 25) from northeastern Brazil. The black dots are the data of unhatched eggs from known females (</w:t>
      </w:r>
      <w:r>
        <w:rPr>
          <w:rFonts w:ascii="Arial" w:eastAsia="Times New Roman" w:hAnsi="Arial" w:cs="Arial"/>
          <w:i/>
          <w:iCs/>
        </w:rPr>
        <w:t>n</w:t>
      </w:r>
      <w:r>
        <w:rPr>
          <w:rFonts w:ascii="Arial" w:eastAsia="Times New Roman" w:hAnsi="Arial" w:cs="Arial"/>
          <w:i/>
          <w:iCs/>
          <w:vertAlign w:val="subscript"/>
        </w:rPr>
        <w:t>nest</w:t>
      </w:r>
      <w:r>
        <w:rPr>
          <w:rFonts w:ascii="Arial" w:eastAsia="Times New Roman" w:hAnsi="Arial" w:cs="Arial"/>
        </w:rPr>
        <w:t xml:space="preserve"> = 15) and unknown females (</w:t>
      </w:r>
      <w:r>
        <w:rPr>
          <w:rFonts w:ascii="Arial" w:eastAsia="Times New Roman" w:hAnsi="Arial" w:cs="Arial"/>
          <w:i/>
          <w:iCs/>
        </w:rPr>
        <w:t>n</w:t>
      </w:r>
      <w:r>
        <w:rPr>
          <w:rFonts w:ascii="Arial" w:eastAsia="Times New Roman" w:hAnsi="Arial" w:cs="Arial"/>
          <w:i/>
          <w:iCs/>
          <w:vertAlign w:val="subscript"/>
        </w:rPr>
        <w:t>nest</w:t>
      </w:r>
      <w:r>
        <w:rPr>
          <w:rFonts w:ascii="Arial" w:eastAsia="Times New Roman" w:hAnsi="Arial" w:cs="Arial"/>
        </w:rPr>
        <w:t xml:space="preserve"> = 10). In the lower right corner are the equations of the relationship between each component.</w:t>
      </w:r>
    </w:p>
    <w:p w:rsidR="00AB3E3B" w:rsidRDefault="00AB3E3B"/>
    <w:p w:rsidR="00AB3E3B" w:rsidRDefault="00B30E57"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717677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E3B" w:rsidRDefault="00B30E57">
      <w:pPr>
        <w:spacing w:line="480" w:lineRule="auto"/>
        <w:jc w:val="both"/>
      </w:pPr>
      <w:r>
        <w:rPr>
          <w:rFonts w:ascii="Arial" w:hAnsi="Arial"/>
          <w:b/>
          <w:bCs/>
        </w:rPr>
        <w:t>Fig. S3.</w:t>
      </w:r>
      <w:r>
        <w:rPr>
          <w:rFonts w:ascii="Arial" w:hAnsi="Arial"/>
        </w:rPr>
        <w:t xml:space="preserve"> Bayesian g</w:t>
      </w:r>
      <w:r>
        <w:rPr>
          <w:rFonts w:ascii="Arial" w:hAnsi="Arial"/>
        </w:rPr>
        <w:t>eneralized linear model of the carbon (</w:t>
      </w:r>
      <w:r>
        <w:rPr>
          <w:rFonts w:ascii="Arial" w:hAnsi="Arial" w:cs="Arial"/>
          <w:i/>
          <w:color w:val="1B1C20"/>
        </w:rPr>
        <w:t>δ</w:t>
      </w:r>
      <w:r>
        <w:rPr>
          <w:rFonts w:ascii="Arial" w:hAnsi="Arial" w:cs="Arial"/>
          <w:color w:val="1B1C20"/>
          <w:vertAlign w:val="superscript"/>
        </w:rPr>
        <w:t>13</w:t>
      </w:r>
      <w:r>
        <w:rPr>
          <w:rFonts w:ascii="Arial" w:hAnsi="Arial" w:cs="Arial"/>
          <w:color w:val="1B1C20"/>
        </w:rPr>
        <w:t>C)</w:t>
      </w:r>
      <w:r>
        <w:rPr>
          <w:rFonts w:ascii="Arial" w:hAnsi="Arial"/>
        </w:rPr>
        <w:t xml:space="preserve"> values of fresh egg components and of unhatched egg components of female olive ridley sea turtles (</w:t>
      </w:r>
      <w:r>
        <w:rPr>
          <w:rFonts w:ascii="Arial" w:hAnsi="Arial"/>
          <w:i/>
          <w:iCs/>
        </w:rPr>
        <w:t>Lepidochelys olivacea)</w:t>
      </w:r>
      <w:r>
        <w:rPr>
          <w:rFonts w:ascii="Arial" w:hAnsi="Arial"/>
        </w:rPr>
        <w:t xml:space="preserve"> (</w:t>
      </w:r>
      <w:r>
        <w:rPr>
          <w:rFonts w:ascii="Arial" w:hAnsi="Arial"/>
          <w:i/>
          <w:iCs/>
        </w:rPr>
        <w:t>n</w:t>
      </w:r>
      <w:r>
        <w:rPr>
          <w:rFonts w:ascii="Arial" w:hAnsi="Arial"/>
        </w:rPr>
        <w:t xml:space="preserve"> = 15) from northeastern Brazil. In the upper left corner are the equations of the rela</w:t>
      </w:r>
      <w:r>
        <w:rPr>
          <w:rFonts w:ascii="Arial" w:hAnsi="Arial"/>
        </w:rPr>
        <w:t>tionship between each component.</w:t>
      </w:r>
    </w:p>
    <w:p w:rsidR="00AB3E3B" w:rsidRDefault="00B30E57">
      <w:pPr>
        <w:spacing w:line="480" w:lineRule="auto"/>
        <w:jc w:val="both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7146290"/>
            <wp:effectExtent l="0" t="0" r="0" b="0"/>
            <wp:wrapTopAndBottom/>
            <wp:docPr id="4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Fig. S4.</w:t>
      </w:r>
      <w:r>
        <w:rPr>
          <w:rFonts w:ascii="Arial" w:hAnsi="Arial"/>
        </w:rPr>
        <w:t xml:space="preserve"> Bayesian generalized linear model of the nitrogen (</w:t>
      </w:r>
      <w:r>
        <w:rPr>
          <w:rFonts w:ascii="Arial" w:hAnsi="Arial" w:cs="Arial"/>
          <w:i/>
          <w:color w:val="1B1C20"/>
        </w:rPr>
        <w:t>δ</w:t>
      </w:r>
      <w:r>
        <w:rPr>
          <w:rFonts w:ascii="Arial" w:hAnsi="Arial" w:cs="Arial"/>
          <w:color w:val="1B1C20"/>
          <w:vertAlign w:val="superscript"/>
        </w:rPr>
        <w:t>15</w:t>
      </w:r>
      <w:r>
        <w:rPr>
          <w:rFonts w:ascii="Arial" w:hAnsi="Arial" w:cs="Arial"/>
          <w:color w:val="1B1C20"/>
        </w:rPr>
        <w:t>N)</w:t>
      </w:r>
      <w:r>
        <w:rPr>
          <w:rFonts w:ascii="Arial" w:hAnsi="Arial"/>
        </w:rPr>
        <w:t xml:space="preserve"> values of fresh egg components and of unhatched egg components of female olive ridley sea turtles (</w:t>
      </w:r>
      <w:r>
        <w:rPr>
          <w:rFonts w:ascii="Arial" w:hAnsi="Arial"/>
          <w:i/>
          <w:iCs/>
        </w:rPr>
        <w:t>Lepidochelys olivacea)</w:t>
      </w:r>
      <w:r>
        <w:rPr>
          <w:rFonts w:ascii="Arial" w:hAnsi="Arial"/>
        </w:rPr>
        <w:t xml:space="preserve"> (</w:t>
      </w:r>
      <w:r>
        <w:rPr>
          <w:rFonts w:ascii="Arial" w:hAnsi="Arial"/>
          <w:i/>
          <w:iCs/>
        </w:rPr>
        <w:t>n</w:t>
      </w:r>
      <w:r>
        <w:rPr>
          <w:rFonts w:ascii="Arial" w:hAnsi="Arial"/>
        </w:rPr>
        <w:t xml:space="preserve"> = 15) from northeastern Brazil. In the upper left corner are the equations of the relationship between each component.</w:t>
      </w:r>
    </w:p>
    <w:sectPr w:rsidR="00AB3E3B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AB3E3B"/>
    <w:rsid w:val="00AB3E3B"/>
    <w:rsid w:val="00B3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2023-04-11T12:13:00Z</dcterms:created>
  <dcterms:modified xsi:type="dcterms:W3CDTF">2023-04-11T12:13:00Z</dcterms:modified>
  <dc:language>en-US</dc:language>
</cp:coreProperties>
</file>