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B0" w:rsidRDefault="008E7A1C">
      <w:pPr>
        <w:spacing w:line="360" w:lineRule="auto"/>
        <w:rPr>
          <w:rFonts w:hint="eastAsia"/>
        </w:rPr>
      </w:pPr>
      <w:r>
        <w:rPr>
          <w:rStyle w:val="Fontepargpadro"/>
          <w:rFonts w:ascii="Times New Roman" w:hAnsi="Times New Roman"/>
          <w:b/>
          <w:bCs/>
        </w:rPr>
        <w:t>SUPPLEMENTARY RESULTS</w:t>
      </w:r>
    </w:p>
    <w:p w:rsidR="00E12BB0" w:rsidRDefault="00E12BB0">
      <w:pPr>
        <w:spacing w:line="360" w:lineRule="auto"/>
        <w:rPr>
          <w:rFonts w:ascii="Times New Roman" w:hAnsi="Times New Roman"/>
        </w:rPr>
      </w:pPr>
    </w:p>
    <w:p w:rsidR="00E12BB0" w:rsidRDefault="008E7A1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Resource partitioning influences levels of toxic trace elements in sympatric tropical seabirds  </w:t>
      </w:r>
    </w:p>
    <w:p w:rsidR="00E12BB0" w:rsidRDefault="00E12BB0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12BB0" w:rsidRDefault="008E7A1C">
      <w:p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Bruno de Andrade Linhares, Guilherme Tavares Nunes, Adalto Bianchini, Luísa Bertolini, Fiorella Vilela, Márcio Amorim Efe, Fábio </w:t>
      </w:r>
      <w:r>
        <w:rPr>
          <w:rFonts w:ascii="Times New Roman" w:hAnsi="Times New Roman" w:cs="Times New Roman"/>
          <w:b/>
          <w:bCs/>
          <w:lang w:val="pt-BR"/>
        </w:rPr>
        <w:t>Lameiro Rodrigues, Sophie Lanco, Yuri Dornelles Zebral, Patrícia Gomes Costa, Leandro Bugoni</w:t>
      </w:r>
    </w:p>
    <w:p w:rsidR="00E12BB0" w:rsidRDefault="00E12BB0">
      <w:pPr>
        <w:spacing w:line="360" w:lineRule="auto"/>
        <w:rPr>
          <w:rFonts w:ascii="Times New Roman" w:hAnsi="Times New Roman" w:cs="Times New Roman"/>
          <w:lang w:val="pt-BR"/>
        </w:rPr>
      </w:pPr>
    </w:p>
    <w:p w:rsidR="00E12BB0" w:rsidRDefault="008E7A1C">
      <w:pPr>
        <w:spacing w:line="360" w:lineRule="auto"/>
        <w:rPr>
          <w:rFonts w:hint="eastAsia"/>
        </w:rPr>
      </w:pPr>
      <w:r>
        <w:rPr>
          <w:rStyle w:val="Fontepargpadro"/>
          <w:rFonts w:ascii="Times New Roman" w:hAnsi="Times New Roman" w:cs="Times New Roman"/>
          <w:i/>
          <w:iCs/>
        </w:rPr>
        <w:t>Science of the Total Environment</w:t>
      </w:r>
      <w:proofErr w:type="gramStart"/>
      <w:r>
        <w:rPr>
          <w:rStyle w:val="Fontepargpadro"/>
          <w:rFonts w:ascii="Times New Roman" w:hAnsi="Times New Roman" w:cs="Times New Roman"/>
        </w:rPr>
        <w:t xml:space="preserve">,  </w:t>
      </w:r>
      <w:proofErr w:type="spellStart"/>
      <w:r>
        <w:rPr>
          <w:rStyle w:val="Fontepargpadro"/>
          <w:rFonts w:ascii="Times New Roman" w:hAnsi="Times New Roman" w:cs="Times New Roman"/>
        </w:rPr>
        <w:t>vol</w:t>
      </w:r>
      <w:proofErr w:type="spellEnd"/>
      <w:proofErr w:type="gramEnd"/>
      <w:r>
        <w:rPr>
          <w:rStyle w:val="Fontepargpadro"/>
          <w:rFonts w:ascii="Times New Roman" w:hAnsi="Times New Roman" w:cs="Times New Roman"/>
        </w:rPr>
        <w:t xml:space="preserve"> xx,  article </w:t>
      </w:r>
      <w:proofErr w:type="spellStart"/>
      <w:r>
        <w:rPr>
          <w:rStyle w:val="Fontepargpadro"/>
          <w:rFonts w:ascii="Times New Roman" w:hAnsi="Times New Roman" w:cs="Times New Roman"/>
        </w:rPr>
        <w:t>xxxx</w:t>
      </w:r>
      <w:proofErr w:type="spellEnd"/>
      <w:r>
        <w:rPr>
          <w:rStyle w:val="Fontepargpadro"/>
          <w:rFonts w:ascii="Times New Roman" w:hAnsi="Times New Roman" w:cs="Times New Roman"/>
        </w:rPr>
        <w:t xml:space="preserve"> (2024).</w:t>
      </w:r>
    </w:p>
    <w:p w:rsidR="00E12BB0" w:rsidRDefault="008E7A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E12BB0" w:rsidRDefault="00E12BB0">
      <w:pPr>
        <w:spacing w:line="360" w:lineRule="auto"/>
        <w:rPr>
          <w:rFonts w:ascii="Times New Roman" w:hAnsi="Times New Roman" w:cs="Times New Roman"/>
        </w:rPr>
      </w:pPr>
    </w:p>
    <w:p w:rsidR="00E12BB0" w:rsidRDefault="00E12BB0">
      <w:pPr>
        <w:spacing w:line="360" w:lineRule="auto"/>
        <w:rPr>
          <w:rFonts w:ascii="Times New Roman" w:hAnsi="Times New Roman"/>
          <w:b/>
          <w:bCs/>
        </w:rPr>
      </w:pPr>
    </w:p>
    <w:p w:rsidR="00E12BB0" w:rsidRDefault="008E7A1C">
      <w:pPr>
        <w:spacing w:line="360" w:lineRule="auto"/>
        <w:rPr>
          <w:rStyle w:val="Fontepargpadro"/>
          <w:rFonts w:ascii="Times New Roman" w:hAnsi="Times New Roman"/>
          <w:b/>
          <w:bCs/>
        </w:rPr>
      </w:pPr>
      <w:r>
        <w:rPr>
          <w:noProof/>
          <w:lang w:eastAsia="en-US" w:bidi="ar-SA"/>
        </w:rPr>
        <w:drawing>
          <wp:inline distT="0" distB="0" distL="0" distR="0">
            <wp:extent cx="5377815" cy="4182745"/>
            <wp:effectExtent l="0" t="0" r="0" b="825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epargpadro"/>
          <w:rFonts w:ascii="Times New Roman" w:hAnsi="Times New Roman"/>
          <w:b/>
          <w:bCs/>
        </w:rPr>
        <w:br/>
      </w:r>
    </w:p>
    <w:p w:rsidR="00E12BB0" w:rsidRDefault="008E7A1C">
      <w:pPr>
        <w:spacing w:line="360" w:lineRule="auto"/>
        <w:jc w:val="both"/>
        <w:rPr>
          <w:rFonts w:hint="eastAsia"/>
        </w:rPr>
      </w:pPr>
      <w:r>
        <w:rPr>
          <w:rStyle w:val="Fontepargpadro"/>
          <w:rFonts w:ascii="Times New Roman" w:hAnsi="Times New Roman"/>
          <w:b/>
          <w:bCs/>
        </w:rPr>
        <w:t xml:space="preserve">Fig. S1. </w:t>
      </w:r>
      <w:r>
        <w:rPr>
          <w:rStyle w:val="Fontepargpadro"/>
          <w:rFonts w:ascii="Times New Roman" w:hAnsi="Times New Roman"/>
        </w:rPr>
        <w:t xml:space="preserve">Carbon and nitrogen </w:t>
      </w:r>
      <w:proofErr w:type="spellStart"/>
      <w:r>
        <w:rPr>
          <w:rStyle w:val="Fontepargpadro"/>
          <w:rFonts w:ascii="Times New Roman" w:hAnsi="Times New Roman"/>
        </w:rPr>
        <w:t>isospace</w:t>
      </w:r>
      <w:proofErr w:type="spellEnd"/>
      <w:r>
        <w:rPr>
          <w:rStyle w:val="Fontepargpadro"/>
          <w:rFonts w:ascii="Times New Roman" w:hAnsi="Times New Roman"/>
        </w:rPr>
        <w:t xml:space="preserve"> representing mean and standard devia</w:t>
      </w:r>
      <w:r>
        <w:rPr>
          <w:rStyle w:val="Fontepargpadro"/>
          <w:rFonts w:ascii="Times New Roman" w:hAnsi="Times New Roman"/>
        </w:rPr>
        <w:t xml:space="preserve">tions of raw isotope data for Red-billed tropicbirds </w:t>
      </w:r>
      <w:r>
        <w:rPr>
          <w:rStyle w:val="Fontepargpadro"/>
          <w:rFonts w:ascii="Times New Roman" w:hAnsi="Times New Roman"/>
          <w:i/>
          <w:iCs/>
        </w:rPr>
        <w:t xml:space="preserve">Phaethon </w:t>
      </w:r>
      <w:proofErr w:type="spellStart"/>
      <w:r>
        <w:rPr>
          <w:rStyle w:val="Fontepargpadro"/>
          <w:rFonts w:ascii="Times New Roman" w:hAnsi="Times New Roman"/>
          <w:i/>
          <w:iCs/>
        </w:rPr>
        <w:t>aethereus</w:t>
      </w:r>
      <w:proofErr w:type="spellEnd"/>
      <w:r>
        <w:rPr>
          <w:rStyle w:val="Fontepargpadro"/>
          <w:rFonts w:ascii="Times New Roman" w:hAnsi="Times New Roman"/>
        </w:rPr>
        <w:t xml:space="preserve"> (</w:t>
      </w:r>
      <w:proofErr w:type="spellStart"/>
      <w:r>
        <w:rPr>
          <w:rStyle w:val="Fontepargpadro"/>
          <w:rFonts w:ascii="Times New Roman" w:hAnsi="Times New Roman"/>
        </w:rPr>
        <w:t>Paet</w:t>
      </w:r>
      <w:proofErr w:type="spellEnd"/>
      <w:r>
        <w:rPr>
          <w:rStyle w:val="Fontepargpadro"/>
          <w:rFonts w:ascii="Times New Roman" w:hAnsi="Times New Roman"/>
        </w:rPr>
        <w:t xml:space="preserve">), Masked </w:t>
      </w:r>
      <w:r>
        <w:rPr>
          <w:rStyle w:val="Fontepargpadro"/>
          <w:rFonts w:ascii="Times New Roman" w:hAnsi="Times New Roman"/>
          <w:i/>
          <w:iCs/>
        </w:rPr>
        <w:t xml:space="preserve">Sula </w:t>
      </w:r>
      <w:proofErr w:type="spellStart"/>
      <w:r>
        <w:rPr>
          <w:rStyle w:val="Fontepargpadro"/>
          <w:rFonts w:ascii="Times New Roman" w:hAnsi="Times New Roman"/>
          <w:i/>
          <w:iCs/>
        </w:rPr>
        <w:t>dactylatra</w:t>
      </w:r>
      <w:proofErr w:type="spellEnd"/>
      <w:r>
        <w:rPr>
          <w:rStyle w:val="Fontepargpadro"/>
          <w:rFonts w:ascii="Times New Roman" w:hAnsi="Times New Roman"/>
        </w:rPr>
        <w:t xml:space="preserve"> (</w:t>
      </w:r>
      <w:proofErr w:type="spellStart"/>
      <w:r>
        <w:rPr>
          <w:rStyle w:val="Fontepargpadro"/>
          <w:rFonts w:ascii="Times New Roman" w:hAnsi="Times New Roman"/>
        </w:rPr>
        <w:t>Sdac</w:t>
      </w:r>
      <w:proofErr w:type="spellEnd"/>
      <w:r>
        <w:rPr>
          <w:rStyle w:val="Fontepargpadro"/>
          <w:rFonts w:ascii="Times New Roman" w:hAnsi="Times New Roman"/>
        </w:rPr>
        <w:t xml:space="preserve">) and Brown </w:t>
      </w:r>
      <w:r>
        <w:rPr>
          <w:rStyle w:val="Fontepargpadro"/>
          <w:rFonts w:ascii="Times New Roman" w:hAnsi="Times New Roman"/>
          <w:i/>
          <w:iCs/>
        </w:rPr>
        <w:t xml:space="preserve">Sula </w:t>
      </w:r>
      <w:proofErr w:type="spellStart"/>
      <w:r>
        <w:rPr>
          <w:rStyle w:val="Fontepargpadro"/>
          <w:rFonts w:ascii="Times New Roman" w:hAnsi="Times New Roman"/>
          <w:i/>
          <w:iCs/>
        </w:rPr>
        <w:t>leucogaster</w:t>
      </w:r>
      <w:proofErr w:type="spellEnd"/>
      <w:r>
        <w:rPr>
          <w:rStyle w:val="Fontepargpadro"/>
          <w:rFonts w:ascii="Times New Roman" w:hAnsi="Times New Roman"/>
        </w:rPr>
        <w:t xml:space="preserve"> (</w:t>
      </w:r>
      <w:proofErr w:type="spellStart"/>
      <w:r>
        <w:rPr>
          <w:rStyle w:val="Fontepargpadro"/>
          <w:rFonts w:ascii="Times New Roman" w:hAnsi="Times New Roman"/>
        </w:rPr>
        <w:t>Sleu</w:t>
      </w:r>
      <w:proofErr w:type="spellEnd"/>
      <w:r>
        <w:rPr>
          <w:rStyle w:val="Fontepargpadro"/>
          <w:rFonts w:ascii="Times New Roman" w:hAnsi="Times New Roman"/>
        </w:rPr>
        <w:t xml:space="preserve">) boobies and their prey in the </w:t>
      </w:r>
      <w:proofErr w:type="spellStart"/>
      <w:r>
        <w:rPr>
          <w:rStyle w:val="Fontepargpadro"/>
          <w:rFonts w:ascii="Times New Roman" w:hAnsi="Times New Roman"/>
        </w:rPr>
        <w:t>Abrolhos</w:t>
      </w:r>
      <w:proofErr w:type="spellEnd"/>
      <w:r>
        <w:rPr>
          <w:rStyle w:val="Fontepargpadro"/>
          <w:rFonts w:ascii="Times New Roman" w:hAnsi="Times New Roman"/>
        </w:rPr>
        <w:t xml:space="preserve"> Archipelago, southwestern Atlantic Ocean.</w:t>
      </w:r>
    </w:p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8E7A1C">
      <w:pPr>
        <w:spacing w:line="360" w:lineRule="auto"/>
        <w:jc w:val="both"/>
        <w:rPr>
          <w:rFonts w:hint="eastAsia"/>
        </w:rPr>
      </w:pPr>
      <w:r>
        <w:rPr>
          <w:noProof/>
          <w:lang w:eastAsia="en-US" w:bidi="ar-SA"/>
        </w:rPr>
        <w:drawing>
          <wp:inline distT="0" distB="0" distL="0" distR="0">
            <wp:extent cx="5670550" cy="32004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epargpadro"/>
          <w:rFonts w:ascii="Times New Roman" w:hAnsi="Times New Roman"/>
        </w:rPr>
        <w:br/>
      </w:r>
    </w:p>
    <w:p w:rsidR="00E12BB0" w:rsidRDefault="00E12BB0">
      <w:pPr>
        <w:spacing w:line="360" w:lineRule="auto"/>
        <w:jc w:val="both"/>
        <w:rPr>
          <w:rStyle w:val="Fontepargpadro"/>
          <w:rFonts w:ascii="Times New Roman" w:hAnsi="Times New Roman"/>
          <w:b/>
          <w:bCs/>
        </w:rPr>
      </w:pPr>
    </w:p>
    <w:p w:rsidR="00E12BB0" w:rsidRDefault="008E7A1C">
      <w:pPr>
        <w:spacing w:line="360" w:lineRule="auto"/>
        <w:jc w:val="both"/>
        <w:rPr>
          <w:rFonts w:hint="eastAsia"/>
        </w:rPr>
      </w:pPr>
      <w:r>
        <w:rPr>
          <w:rStyle w:val="Fontepargpadro"/>
          <w:rFonts w:ascii="Times New Roman" w:hAnsi="Times New Roman"/>
          <w:b/>
          <w:bCs/>
        </w:rPr>
        <w:t xml:space="preserve">Fig. S2. </w:t>
      </w:r>
      <w:r>
        <w:rPr>
          <w:rStyle w:val="Fontepargpadro"/>
          <w:rFonts w:ascii="Times New Roman" w:hAnsi="Times New Roman"/>
        </w:rPr>
        <w:t>Carbon (</w:t>
      </w:r>
      <w:r>
        <w:rPr>
          <w:rStyle w:val="Fontepargpadro"/>
          <w:rFonts w:ascii="Times New Roman" w:hAnsi="Times New Roman" w:cs="Times New Roman"/>
          <w:i/>
          <w:lang w:val="pt-BR"/>
        </w:rPr>
        <w:t>δ</w:t>
      </w:r>
      <w:r>
        <w:rPr>
          <w:rStyle w:val="Fontepargpadro"/>
          <w:rFonts w:ascii="Times New Roman" w:hAnsi="Times New Roman" w:cs="Times New Roman"/>
          <w:position w:val="6"/>
          <w:sz w:val="16"/>
        </w:rPr>
        <w:t>13</w:t>
      </w:r>
      <w:r>
        <w:rPr>
          <w:rStyle w:val="Fontepargpadro"/>
          <w:rFonts w:ascii="Times New Roman" w:hAnsi="Times New Roman" w:cs="Times New Roman"/>
        </w:rPr>
        <w:t>C) and nitrogen (</w:t>
      </w:r>
      <w:r>
        <w:rPr>
          <w:rStyle w:val="Fontepargpadro"/>
          <w:rFonts w:ascii="Times New Roman" w:hAnsi="Times New Roman" w:cs="Times New Roman"/>
          <w:i/>
          <w:lang w:val="pt-BR"/>
        </w:rPr>
        <w:t>δ</w:t>
      </w:r>
      <w:r>
        <w:rPr>
          <w:rStyle w:val="Fontepargpadro"/>
          <w:rFonts w:ascii="Times New Roman" w:hAnsi="Times New Roman" w:cs="Times New Roman"/>
          <w:position w:val="6"/>
          <w:sz w:val="16"/>
        </w:rPr>
        <w:t>15</w:t>
      </w:r>
      <w:r>
        <w:rPr>
          <w:rStyle w:val="Fontepargpadro"/>
          <w:rFonts w:ascii="Times New Roman" w:hAnsi="Times New Roman" w:cs="Times New Roman"/>
        </w:rPr>
        <w:t xml:space="preserve">N) isotopic values of Red-billed tropicbirds </w:t>
      </w:r>
      <w:r>
        <w:rPr>
          <w:rStyle w:val="Fontepargpadro"/>
          <w:rFonts w:ascii="Times New Roman" w:hAnsi="Times New Roman" w:cs="Times New Roman"/>
          <w:i/>
          <w:iCs/>
        </w:rPr>
        <w:t xml:space="preserve">Phaethon </w:t>
      </w:r>
      <w:proofErr w:type="spellStart"/>
      <w:r>
        <w:rPr>
          <w:rStyle w:val="Fontepargpadro"/>
          <w:rFonts w:ascii="Times New Roman" w:hAnsi="Times New Roman" w:cs="Times New Roman"/>
          <w:i/>
          <w:iCs/>
        </w:rPr>
        <w:t>aetehreus</w:t>
      </w:r>
      <w:proofErr w:type="spellEnd"/>
      <w:r>
        <w:rPr>
          <w:rStyle w:val="Fontepargpadro"/>
          <w:rFonts w:ascii="Times New Roman" w:hAnsi="Times New Roman" w:cs="Times New Roman"/>
        </w:rPr>
        <w:t xml:space="preserve">, Brown booby </w:t>
      </w:r>
      <w:r>
        <w:rPr>
          <w:rStyle w:val="Fontepargpadro"/>
          <w:rFonts w:ascii="Times New Roman" w:hAnsi="Times New Roman" w:cs="Times New Roman"/>
          <w:i/>
          <w:iCs/>
        </w:rPr>
        <w:t xml:space="preserve">Sula </w:t>
      </w:r>
      <w:proofErr w:type="spellStart"/>
      <w:r>
        <w:rPr>
          <w:rStyle w:val="Fontepargpadro"/>
          <w:rFonts w:ascii="Times New Roman" w:hAnsi="Times New Roman" w:cs="Times New Roman"/>
          <w:i/>
          <w:iCs/>
        </w:rPr>
        <w:t>leucogaster</w:t>
      </w:r>
      <w:proofErr w:type="spellEnd"/>
      <w:r>
        <w:rPr>
          <w:rStyle w:val="Fontepargpadro"/>
          <w:rFonts w:ascii="Times New Roman" w:hAnsi="Times New Roman" w:cs="Times New Roman"/>
        </w:rPr>
        <w:t xml:space="preserve"> and Masked booby </w:t>
      </w:r>
      <w:r>
        <w:rPr>
          <w:rStyle w:val="Fontepargpadro"/>
          <w:rFonts w:ascii="Times New Roman" w:hAnsi="Times New Roman" w:cs="Times New Roman"/>
          <w:i/>
          <w:iCs/>
        </w:rPr>
        <w:t xml:space="preserve">Sula </w:t>
      </w:r>
      <w:proofErr w:type="spellStart"/>
      <w:r>
        <w:rPr>
          <w:rStyle w:val="Fontepargpadro"/>
          <w:rFonts w:ascii="Times New Roman" w:hAnsi="Times New Roman" w:cs="Times New Roman"/>
          <w:i/>
          <w:iCs/>
        </w:rPr>
        <w:t>dactylatra</w:t>
      </w:r>
      <w:proofErr w:type="spellEnd"/>
      <w:r>
        <w:rPr>
          <w:rStyle w:val="Fontepargpadro"/>
          <w:rFonts w:ascii="Times New Roman" w:hAnsi="Times New Roman" w:cs="Times New Roman"/>
        </w:rPr>
        <w:t xml:space="preserve"> breeding in the </w:t>
      </w:r>
      <w:proofErr w:type="spellStart"/>
      <w:r>
        <w:rPr>
          <w:rStyle w:val="Fontepargpadro"/>
          <w:rFonts w:ascii="Times New Roman" w:hAnsi="Times New Roman" w:cs="Times New Roman"/>
        </w:rPr>
        <w:t>Abrolhos</w:t>
      </w:r>
      <w:proofErr w:type="spellEnd"/>
      <w:r>
        <w:rPr>
          <w:rStyle w:val="Fontepargpadro"/>
          <w:rFonts w:ascii="Times New Roman" w:hAnsi="Times New Roman" w:cs="Times New Roman"/>
        </w:rPr>
        <w:t xml:space="preserve"> Archipelago, southwestern Atlantic Ocean. </w:t>
      </w:r>
      <w:r>
        <w:rPr>
          <w:rStyle w:val="Fontepargpadro"/>
          <w:rFonts w:ascii="Times New Roman" w:hAnsi="Times New Roman" w:cs="Times New Roman"/>
          <w:color w:val="1C1D1E"/>
        </w:rPr>
        <w:t>Notch on boxplots represent the</w:t>
      </w:r>
      <w:r>
        <w:rPr>
          <w:rStyle w:val="Fontepargpadro"/>
          <w:rFonts w:ascii="Times New Roman" w:hAnsi="Times New Roman" w:cs="Times New Roman"/>
          <w:color w:val="1C1D1E"/>
        </w:rPr>
        <w:t xml:space="preserve"> confidence interval of 95% around the median, and black symbols raw data points. Lowercase letters top-right on boxplots represent results (</w:t>
      </w:r>
      <w:r>
        <w:rPr>
          <w:rStyle w:val="Fontepargpadro"/>
          <w:rFonts w:ascii="Times New Roman" w:hAnsi="Times New Roman" w:cs="Times New Roman"/>
          <w:i/>
          <w:iCs/>
          <w:color w:val="1C1D1E"/>
        </w:rPr>
        <w:t>p</w:t>
      </w:r>
      <w:r>
        <w:rPr>
          <w:rStyle w:val="Fontepargpadro"/>
          <w:rFonts w:ascii="Times New Roman" w:hAnsi="Times New Roman" w:cs="Times New Roman"/>
          <w:color w:val="1C1D1E"/>
        </w:rPr>
        <w:t xml:space="preserve"> &lt; 0.05) of pairwise contrast analysis implemented for linear mixed models.</w:t>
      </w: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8E7A1C">
      <w:pPr>
        <w:spacing w:line="360" w:lineRule="auto"/>
        <w:jc w:val="both"/>
        <w:rPr>
          <w:rFonts w:hint="eastAsia"/>
        </w:rPr>
      </w:pPr>
      <w:r>
        <w:rPr>
          <w:noProof/>
          <w:lang w:eastAsia="en-US" w:bidi="ar-SA"/>
        </w:rPr>
        <w:lastRenderedPageBreak/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0</wp:posOffset>
            </wp:positionH>
            <wp:positionV relativeFrom="line">
              <wp:posOffset>635</wp:posOffset>
            </wp:positionV>
            <wp:extent cx="6332220" cy="3422650"/>
            <wp:effectExtent l="0" t="0" r="0" b="0"/>
            <wp:wrapSquare wrapText="bothSides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ascii="Times New Roman" w:hAnsi="Times New Roman"/>
          <w:b/>
          <w:bCs/>
        </w:rPr>
        <w:t xml:space="preserve">Fig. S3. </w:t>
      </w:r>
      <w:r>
        <w:rPr>
          <w:rStyle w:val="Fontepargpadro"/>
          <w:rFonts w:ascii="Times New Roman" w:hAnsi="Times New Roman"/>
        </w:rPr>
        <w:t>Pearson correlation matrix among transformed data of trace elements and stable isotopes in seabird blood and feather. Stable nitrogen isotopes and trace elements were log-transformed before the analysis, while stable carbon isotopes were cube root transfor</w:t>
      </w:r>
      <w:r>
        <w:rPr>
          <w:rStyle w:val="Fontepargpadro"/>
          <w:rFonts w:ascii="Times New Roman" w:hAnsi="Times New Roman"/>
        </w:rPr>
        <w:t xml:space="preserve">med. Values in the right represent the direction and strength of the correlation, and asterisks represent significance level of the correlation test (* </w:t>
      </w:r>
      <w:r>
        <w:rPr>
          <w:rStyle w:val="Fontepargpadro"/>
          <w:rFonts w:ascii="Times New Roman" w:hAnsi="Times New Roman"/>
          <w:i/>
          <w:iCs/>
        </w:rPr>
        <w:t>p</w:t>
      </w:r>
      <w:r>
        <w:rPr>
          <w:rStyle w:val="Fontepargpadro"/>
          <w:rFonts w:ascii="Times New Roman" w:hAnsi="Times New Roman"/>
        </w:rPr>
        <w:t xml:space="preserve"> &lt; 0.05; ** </w:t>
      </w:r>
      <w:r>
        <w:rPr>
          <w:rStyle w:val="Fontepargpadro"/>
          <w:rFonts w:ascii="Times New Roman" w:hAnsi="Times New Roman"/>
          <w:i/>
          <w:iCs/>
        </w:rPr>
        <w:t>p</w:t>
      </w:r>
      <w:r>
        <w:rPr>
          <w:rStyle w:val="Fontepargpadro"/>
          <w:rFonts w:ascii="Times New Roman" w:hAnsi="Times New Roman"/>
        </w:rPr>
        <w:t xml:space="preserve"> &lt; 0.01; *** </w:t>
      </w:r>
      <w:r>
        <w:rPr>
          <w:rStyle w:val="Fontepargpadro"/>
          <w:rFonts w:ascii="Times New Roman" w:hAnsi="Times New Roman"/>
          <w:i/>
          <w:iCs/>
        </w:rPr>
        <w:t>p</w:t>
      </w:r>
      <w:r>
        <w:rPr>
          <w:rStyle w:val="Fontepargpadro"/>
          <w:rFonts w:ascii="Times New Roman" w:hAnsi="Times New Roman"/>
        </w:rPr>
        <w:t xml:space="preserve"> &lt; 0.001).</w:t>
      </w:r>
      <w:r>
        <w:br w:type="page"/>
      </w:r>
    </w:p>
    <w:p w:rsidR="00E12BB0" w:rsidRDefault="008E7A1C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b/>
          <w:bCs/>
        </w:rPr>
        <w:lastRenderedPageBreak/>
        <w:t xml:space="preserve">Table S1 </w:t>
      </w:r>
      <w:r>
        <w:t>Carbon and nitrogen stable isotopes (‰) and trace eleme</w:t>
      </w:r>
      <w:r>
        <w:t>nt concentration data (mg/kg dry mass) in seabird blood and feathers.</w:t>
      </w:r>
    </w:p>
    <w:tbl>
      <w:tblPr>
        <w:tblW w:w="9570" w:type="dxa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0"/>
        <w:gridCol w:w="1315"/>
        <w:gridCol w:w="1296"/>
        <w:gridCol w:w="1267"/>
        <w:gridCol w:w="1522"/>
        <w:gridCol w:w="1350"/>
        <w:gridCol w:w="1530"/>
      </w:tblGrid>
      <w:tr w:rsidR="00E12BB0">
        <w:trPr>
          <w:trHeight w:val="300"/>
        </w:trPr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Tissue/Element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Red-billed tropicbird</w:t>
            </w:r>
          </w:p>
          <w:p w:rsidR="00E12BB0" w:rsidRDefault="00E12BB0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Brown booby</w:t>
            </w:r>
          </w:p>
          <w:p w:rsidR="00E12BB0" w:rsidRDefault="00E12BB0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Masked booby</w:t>
            </w:r>
          </w:p>
          <w:p w:rsidR="00E12BB0" w:rsidRDefault="00E12BB0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 w:rsidR="00E12BB0">
        <w:trPr>
          <w:trHeight w:val="300"/>
        </w:trPr>
        <w:tc>
          <w:tcPr>
            <w:tcW w:w="129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Blood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Mean±SD</w:t>
            </w:r>
            <w:proofErr w:type="spellEnd"/>
          </w:p>
        </w:tc>
        <w:tc>
          <w:tcPr>
            <w:tcW w:w="1296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Min-max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Mean±SD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b/>
                <w:bCs/>
              </w:rPr>
              <w:t>Min</w:t>
            </w:r>
            <w:r>
              <w:t>–</w:t>
            </w:r>
            <w:r>
              <w:rPr>
                <w:rStyle w:val="Fontepargpadro"/>
                <w:b/>
                <w:bCs/>
              </w:rPr>
              <w:t>max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Mean±SD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b/>
                <w:bCs/>
              </w:rPr>
              <w:t>Min</w:t>
            </w:r>
            <w:r>
              <w:t>–</w:t>
            </w:r>
            <w:r>
              <w:rPr>
                <w:rStyle w:val="Fontepargpadro"/>
                <w:b/>
                <w:bCs/>
              </w:rPr>
              <w:t>max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rPr>
                <w:rStyle w:val="Fontepargpadro"/>
                <w:i/>
                <w:iCs/>
              </w:rPr>
              <w:t>δ</w:t>
            </w:r>
            <w:r>
              <w:rPr>
                <w:rStyle w:val="Fontepargpadro"/>
                <w:position w:val="6"/>
                <w:sz w:val="16"/>
              </w:rPr>
              <w:t>15</w:t>
            </w:r>
            <w:r>
              <w:t>N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9.42±1.1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7.43–12.87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11.55±0.89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9.61–13.52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9.98±1.29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7.93–13.45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Fontepargpadro"/>
                <w:i/>
                <w:iCs/>
              </w:rPr>
              <w:t>δ</w:t>
            </w:r>
            <w:r>
              <w:rPr>
                <w:rStyle w:val="Fontepargpadro"/>
                <w:position w:val="6"/>
                <w:sz w:val="16"/>
              </w:rPr>
              <w:t>13</w:t>
            </w:r>
            <w:r>
              <w:t>C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-18.14±0.38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-19.03–17.2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-18.17±0.46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-19.59– -17.12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-17.72±0.5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-19.5– -16.82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As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1.11±1.18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0.03–4.86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0.88±1.15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0.07–8.91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1.29±1.14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0.04–4.58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proofErr w:type="spellStart"/>
            <w:r>
              <w:t>Pb</w:t>
            </w:r>
            <w:proofErr w:type="spellEnd"/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0.5±0.61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0.01–2.62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0.3±0.43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0.01–1.93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0.2±0.27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0.01–1.75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Cd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0.36±0.57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0.01–3.2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0.25±0.28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0.01–1.76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0.18±0.21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0.02–1.36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Hg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0.17±0.21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0–0.95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0.37±0.52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0–2.83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0.26±0.32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0–2.07</w:t>
            </w:r>
          </w:p>
        </w:tc>
      </w:tr>
      <w:tr w:rsidR="00E12BB0">
        <w:trPr>
          <w:trHeight w:val="300"/>
        </w:trPr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Feathers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As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1.38±2.85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0.05–20.48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0.83±1.01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0.01–4.53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0.7±1.1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0.01–4.82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proofErr w:type="spellStart"/>
            <w:r>
              <w:t>Pb</w:t>
            </w:r>
            <w:proofErr w:type="spellEnd"/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0.33±0.37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0.01–2.04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0.24±0.25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0.01–1.4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0.32±0.26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0.01–0.98</w:t>
            </w:r>
          </w:p>
        </w:tc>
      </w:tr>
      <w:tr w:rsidR="00E12BB0">
        <w:trPr>
          <w:trHeight w:val="300"/>
        </w:trPr>
        <w:tc>
          <w:tcPr>
            <w:tcW w:w="129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Cd</w:t>
            </w:r>
          </w:p>
        </w:tc>
        <w:tc>
          <w:tcPr>
            <w:tcW w:w="131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0.47±0.66</w:t>
            </w:r>
          </w:p>
        </w:tc>
        <w:tc>
          <w:tcPr>
            <w:tcW w:w="129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0.03–4.87</w:t>
            </w:r>
          </w:p>
        </w:tc>
        <w:tc>
          <w:tcPr>
            <w:tcW w:w="126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0.36±0.26</w:t>
            </w:r>
          </w:p>
        </w:tc>
        <w:tc>
          <w:tcPr>
            <w:tcW w:w="152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0.04–1.48</w:t>
            </w:r>
          </w:p>
        </w:tc>
        <w:tc>
          <w:tcPr>
            <w:tcW w:w="13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0.36±0.23</w:t>
            </w:r>
          </w:p>
        </w:tc>
        <w:tc>
          <w:tcPr>
            <w:tcW w:w="153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0.01–1.25</w:t>
            </w:r>
          </w:p>
        </w:tc>
      </w:tr>
      <w:tr w:rsidR="00E12BB0">
        <w:trPr>
          <w:trHeight w:val="300"/>
        </w:trPr>
        <w:tc>
          <w:tcPr>
            <w:tcW w:w="129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rPr>
                <w:rFonts w:hint="eastAsia"/>
              </w:rPr>
            </w:pPr>
            <w:r>
              <w:t>Hg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0.29±0.25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0.01–1.6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0.42±0.3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0–1.33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0.47±0.35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t>0–1.78</w:t>
            </w:r>
          </w:p>
        </w:tc>
      </w:tr>
    </w:tbl>
    <w:p w:rsidR="00E12BB0" w:rsidRDefault="00E12BB0">
      <w:pPr>
        <w:rPr>
          <w:rFonts w:hint="eastAsia"/>
        </w:rPr>
      </w:pPr>
    </w:p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8E7A1C">
      <w:pPr>
        <w:spacing w:line="360" w:lineRule="auto"/>
        <w:rPr>
          <w:rFonts w:hint="eastAsia"/>
        </w:rPr>
      </w:pPr>
      <w:r>
        <w:rPr>
          <w:rStyle w:val="Fontepargpadro"/>
          <w:b/>
          <w:bCs/>
        </w:rPr>
        <w:lastRenderedPageBreak/>
        <w:t xml:space="preserve">Table S2 </w:t>
      </w:r>
      <w:r>
        <w:t>Response variable, tissue, residual distribution, marginal and conditional R</w:t>
      </w:r>
      <w:r>
        <w:rPr>
          <w:rStyle w:val="Fontepargpadro"/>
          <w:position w:val="6"/>
          <w:sz w:val="16"/>
        </w:rPr>
        <w:t>2</w:t>
      </w:r>
      <w:r>
        <w:t xml:space="preserve"> estimates from linear mixed models (LMM) and generalized LMM (GLMM) constructed for stable isotope values and element concentration in seabird blood and feather.</w:t>
      </w:r>
    </w:p>
    <w:tbl>
      <w:tblPr>
        <w:tblW w:w="8880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2"/>
        <w:gridCol w:w="1083"/>
        <w:gridCol w:w="2435"/>
        <w:gridCol w:w="1920"/>
        <w:gridCol w:w="2070"/>
      </w:tblGrid>
      <w:tr w:rsidR="00E12BB0">
        <w:trPr>
          <w:trHeight w:val="276"/>
        </w:trPr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Response variable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Tissue</w:t>
            </w:r>
          </w:p>
          <w:p w:rsidR="00E12BB0" w:rsidRDefault="00E12BB0">
            <w:pPr>
              <w:widowControl w:val="0"/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Residual distribution</w:t>
            </w:r>
          </w:p>
          <w:p w:rsidR="00E12BB0" w:rsidRDefault="00E12BB0">
            <w:pPr>
              <w:widowControl w:val="0"/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b/>
              </w:rPr>
              <w:t>Marginal R</w:t>
            </w:r>
            <w:r>
              <w:rPr>
                <w:rStyle w:val="Fontepargpadro"/>
                <w:b/>
                <w:position w:val="6"/>
                <w:sz w:val="16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b/>
              </w:rPr>
              <w:t>Conditional R</w:t>
            </w:r>
            <w:r>
              <w:rPr>
                <w:rStyle w:val="Fontepargpadro"/>
                <w:b/>
                <w:position w:val="6"/>
                <w:sz w:val="16"/>
              </w:rPr>
              <w:t>2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i/>
                <w:iCs/>
              </w:rPr>
              <w:t>δ</w:t>
            </w:r>
            <w:r>
              <w:rPr>
                <w:rStyle w:val="Fontepargpadro"/>
                <w:position w:val="6"/>
                <w:sz w:val="16"/>
              </w:rPr>
              <w:t>13</w:t>
            </w:r>
            <w:r>
              <w:t>C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Gaussian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0.15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0.48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Style w:val="Fontepargpadro"/>
                <w:i/>
                <w:iCs/>
              </w:rPr>
              <w:t>δ</w:t>
            </w:r>
            <w:r>
              <w:rPr>
                <w:rStyle w:val="Fontepargpadro"/>
                <w:position w:val="6"/>
                <w:sz w:val="16"/>
              </w:rPr>
              <w:t>15</w:t>
            </w:r>
            <w:r>
              <w:t>N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Gaussian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0.38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0.60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log(Hg)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Gaussian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0.06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0.18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As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Gamma (inverse)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0.02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0.40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log(Cd)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Gaussian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0.02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0.33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proofErr w:type="spellStart"/>
            <w:r>
              <w:t>Pb</w:t>
            </w:r>
            <w:proofErr w:type="spellEnd"/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blood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Gamma (inverse)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0.02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0.94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Hg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feather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Gamma (inverse)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0.04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0.88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log(As)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feather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Gaussian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0.04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0.80</w:t>
            </w:r>
          </w:p>
        </w:tc>
      </w:tr>
      <w:tr w:rsidR="00E12BB0">
        <w:trPr>
          <w:trHeight w:val="276"/>
        </w:trPr>
        <w:tc>
          <w:tcPr>
            <w:tcW w:w="13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Cd</w:t>
            </w:r>
          </w:p>
        </w:tc>
        <w:tc>
          <w:tcPr>
            <w:tcW w:w="1083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feather</w:t>
            </w:r>
          </w:p>
        </w:tc>
        <w:tc>
          <w:tcPr>
            <w:tcW w:w="243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Gamma (inverse)</w:t>
            </w:r>
          </w:p>
        </w:tc>
        <w:tc>
          <w:tcPr>
            <w:tcW w:w="192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0.01</w:t>
            </w:r>
          </w:p>
        </w:tc>
        <w:tc>
          <w:tcPr>
            <w:tcW w:w="207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0.93</w:t>
            </w:r>
          </w:p>
        </w:tc>
      </w:tr>
      <w:tr w:rsidR="00E12BB0">
        <w:trPr>
          <w:trHeight w:val="276"/>
        </w:trPr>
        <w:tc>
          <w:tcPr>
            <w:tcW w:w="1372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proofErr w:type="spellStart"/>
            <w:r>
              <w:t>Pb</w:t>
            </w:r>
            <w:proofErr w:type="spellEnd"/>
          </w:p>
        </w:tc>
        <w:tc>
          <w:tcPr>
            <w:tcW w:w="1083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feather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Gamma (inverse)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0.01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:rsidR="00E12BB0" w:rsidRDefault="008E7A1C">
            <w:pPr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0.98</w:t>
            </w:r>
          </w:p>
        </w:tc>
      </w:tr>
    </w:tbl>
    <w:p w:rsidR="00E12BB0" w:rsidRDefault="00E12BB0">
      <w:pPr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8E7A1C">
      <w:pPr>
        <w:spacing w:line="360" w:lineRule="auto"/>
        <w:rPr>
          <w:rFonts w:hint="eastAsia"/>
        </w:rPr>
        <w:sectPr w:rsidR="00E12BB0">
          <w:pgSz w:w="12240" w:h="15840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E12BB0" w:rsidRDefault="008E7A1C">
      <w:pPr>
        <w:spacing w:line="360" w:lineRule="auto"/>
        <w:rPr>
          <w:rFonts w:hint="eastAsia"/>
        </w:rPr>
      </w:pPr>
      <w:r>
        <w:rPr>
          <w:rStyle w:val="Fontepargpadro"/>
          <w:b/>
          <w:bCs/>
        </w:rPr>
        <w:lastRenderedPageBreak/>
        <w:t>Table S3</w:t>
      </w:r>
    </w:p>
    <w:p w:rsidR="00E12BB0" w:rsidRDefault="008E7A1C">
      <w:pPr>
        <w:spacing w:line="360" w:lineRule="auto"/>
        <w:rPr>
          <w:rFonts w:hint="eastAsia"/>
        </w:rPr>
      </w:pPr>
      <w:r>
        <w:t>Dietary table informing prey-specific measures. Complementary to the Table 2 in the main text.</w:t>
      </w:r>
    </w:p>
    <w:tbl>
      <w:tblPr>
        <w:tblW w:w="1292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681"/>
        <w:gridCol w:w="735"/>
        <w:gridCol w:w="740"/>
        <w:gridCol w:w="1076"/>
        <w:gridCol w:w="827"/>
        <w:gridCol w:w="735"/>
        <w:gridCol w:w="742"/>
        <w:gridCol w:w="1097"/>
        <w:gridCol w:w="842"/>
        <w:gridCol w:w="736"/>
        <w:gridCol w:w="741"/>
        <w:gridCol w:w="927"/>
      </w:tblGrid>
      <w:tr w:rsidR="00E12BB0">
        <w:trPr>
          <w:trHeight w:val="315"/>
        </w:trPr>
        <w:tc>
          <w:tcPr>
            <w:tcW w:w="3041" w:type="dxa"/>
            <w:tcBorders>
              <w:top w:val="single" w:sz="4" w:space="0" w:color="000000"/>
              <w:left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Prey species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Masked booby (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 xml:space="preserve"> = 31)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Brown booby (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 xml:space="preserve"> = 28)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Red-billed tropicbird (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 xml:space="preserve"> = 60)</w:t>
            </w:r>
          </w:p>
        </w:tc>
      </w:tr>
      <w:tr w:rsidR="00E12BB0">
        <w:trPr>
          <w:trHeight w:val="315"/>
        </w:trPr>
        <w:tc>
          <w:tcPr>
            <w:tcW w:w="3041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E12BB0">
            <w:pPr>
              <w:widowControl w:val="0"/>
              <w:suppressAutoHyphens w:val="0"/>
              <w:rPr>
                <w:rFonts w:hint="eastAsia"/>
                <w:b/>
                <w:bCs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%FO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%PN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%PW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%PSIRI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%FO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%PN</w:t>
            </w: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%PW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%PSIRI</w:t>
            </w:r>
          </w:p>
        </w:tc>
        <w:tc>
          <w:tcPr>
            <w:tcW w:w="84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%FO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%PN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%PW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%PSIRI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left w:val="single" w:sz="8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APOGONIDAE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lef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1.67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33.33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9.92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0.36</w:t>
            </w:r>
          </w:p>
        </w:tc>
      </w:tr>
      <w:tr w:rsidR="00E12BB0">
        <w:trPr>
          <w:trHeight w:val="315"/>
        </w:trPr>
        <w:tc>
          <w:tcPr>
            <w:tcW w:w="304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Apogon pseudomaculatus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16.18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0.85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BELONIDAE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22.58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34.52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23.87</w:t>
            </w:r>
          </w:p>
        </w:tc>
        <w:tc>
          <w:tcPr>
            <w:tcW w:w="107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6.6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18.52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84.43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87.18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15.89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11.67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69.05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60.4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7.55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Ablennes hians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82.81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85.65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13.48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5.13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5.13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Tylosurus acus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7.14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58.33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26.82</w:t>
            </w:r>
          </w:p>
        </w:tc>
        <w:tc>
          <w:tcPr>
            <w:tcW w:w="107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3.04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CARANGIDAE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3.23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16.67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37.59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0.88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3.33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3.33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Decapterus tabl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Decapterus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33.33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64.44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1.75</w:t>
            </w:r>
          </w:p>
        </w:tc>
        <w:tc>
          <w:tcPr>
            <w:tcW w:w="827" w:type="dxa"/>
            <w:tcBorders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left w:val="single" w:sz="8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</w:tr>
      <w:tr w:rsidR="00E12BB0">
        <w:trPr>
          <w:trHeight w:val="285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CEPHALOPODA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57.64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27.12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4.24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Lula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15.38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57.64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29.18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6.68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DOROSOMATIDAE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19.35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67.04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46.43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10.98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25.93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69.87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74.64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18.74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13.33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82.44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87.02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11.3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Opisthonema oglinum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21.43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94.44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90.43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19.81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74.17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87.35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12.92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Sardinella brasiliensis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9.09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2.3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0.23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17.95</w:t>
            </w:r>
          </w:p>
        </w:tc>
        <w:tc>
          <w:tcPr>
            <w:tcW w:w="73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79.93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86.09</w:t>
            </w:r>
          </w:p>
        </w:tc>
        <w:tc>
          <w:tcPr>
            <w:tcW w:w="927" w:type="dxa"/>
            <w:tcBorders>
              <w:left w:val="single" w:sz="4" w:space="0" w:color="FFFFFF"/>
              <w:bottom w:val="single" w:sz="4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14.9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EXOCOETIDAE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61.29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78.46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87.6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50.89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28.33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68.38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77.36</w:t>
            </w:r>
          </w:p>
        </w:tc>
        <w:tc>
          <w:tcPr>
            <w:tcW w:w="92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20.64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Cheilopogon 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cyanopterus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17.86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76.67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85.96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14.52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melanurus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39.29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84.85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86.96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33.75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7.69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54.17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81.43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5.22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Cheilopogon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66.67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54.41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5.13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85.33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3.47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Exocoetus volitans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50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20.79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0.91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Hirundichtys affinis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33.33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63.05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1.72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Hirundichtys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left w:val="single" w:sz="4" w:space="0" w:color="FFFFFF"/>
              <w:bottom w:val="single" w:sz="4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HEMIRAMPHIDAE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16.13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73.06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56.48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10.45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74.07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85.27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84.76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62.97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35,00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89.63</w:t>
            </w:r>
          </w:p>
        </w:tc>
        <w:tc>
          <w:tcPr>
            <w:tcW w:w="741" w:type="dxa"/>
            <w:tcBorders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91.51</w:t>
            </w:r>
          </w:p>
        </w:tc>
        <w:tc>
          <w:tcPr>
            <w:tcW w:w="927" w:type="dxa"/>
            <w:tcBorders>
              <w:top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31.7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Euleptorhamphus velox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75,00</w:t>
            </w:r>
          </w:p>
        </w:tc>
        <w:tc>
          <w:tcPr>
            <w:tcW w:w="741" w:type="dxa"/>
            <w:tcBorders>
              <w:top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89.56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2.11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Hemiramphus balao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32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77.27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82.16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25.51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38.46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90.48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92.05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35.1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lastRenderedPageBreak/>
              <w:t>Hemiramphus brasiliensis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36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65.15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62.05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22.9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736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Hemiramphus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8.33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11.02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0.35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24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61.96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67.68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15.56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7.69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7.69</w:t>
            </w:r>
          </w:p>
        </w:tc>
      </w:tr>
      <w:tr w:rsidR="00E12BB0">
        <w:trPr>
          <w:trHeight w:val="315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Hyporhramphus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 unifasciatus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16.67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4.09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0.42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Hyporhamphus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7.14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79.17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62.27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5.05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62.22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44.98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6.43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PRISTIGASTERIDAE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3.7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83.33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46.36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4" w:space="0" w:color="FFFFFF"/>
            </w:tcBorders>
            <w:vAlign w:val="bottom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Pellona harroweri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27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</w:t>
            </w:r>
          </w:p>
        </w:tc>
        <w:tc>
          <w:tcPr>
            <w:tcW w:w="735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83.33</w:t>
            </w:r>
          </w:p>
        </w:tc>
        <w:tc>
          <w:tcPr>
            <w:tcW w:w="7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44.91</w:t>
            </w:r>
          </w:p>
        </w:tc>
        <w:tc>
          <w:tcPr>
            <w:tcW w:w="1097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2.56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SCOMBRIDAE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22.58</w:t>
            </w:r>
          </w:p>
        </w:tc>
        <w:tc>
          <w:tcPr>
            <w:tcW w:w="735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83.33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95.69</w:t>
            </w:r>
          </w:p>
        </w:tc>
        <w:tc>
          <w:tcPr>
            <w:tcW w:w="1076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20.12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28.33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72.55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74.8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20.87</w:t>
            </w:r>
          </w:p>
        </w:tc>
      </w:tr>
      <w:tr w:rsidR="00E12BB0">
        <w:trPr>
          <w:trHeight w:val="330"/>
        </w:trPr>
        <w:tc>
          <w:tcPr>
            <w:tcW w:w="30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Euthynnus alletteratus</w:t>
            </w:r>
          </w:p>
        </w:tc>
        <w:tc>
          <w:tcPr>
            <w:tcW w:w="68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7.14</w:t>
            </w:r>
          </w:p>
        </w:tc>
        <w:tc>
          <w:tcPr>
            <w:tcW w:w="735" w:type="dxa"/>
            <w:tcBorders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107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5.13</w:t>
            </w:r>
          </w:p>
        </w:tc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927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5.13</w:t>
            </w:r>
          </w:p>
        </w:tc>
      </w:tr>
      <w:tr w:rsidR="00E12BB0">
        <w:trPr>
          <w:trHeight w:val="315"/>
        </w:trPr>
        <w:tc>
          <w:tcPr>
            <w:tcW w:w="304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Katsuwonus pelamis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735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3.57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2" w:type="dxa"/>
            <w:tcBorders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</w:tbl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8E7A1C">
      <w:pPr>
        <w:spacing w:line="360" w:lineRule="auto"/>
        <w:rPr>
          <w:rFonts w:hint="eastAsia"/>
        </w:rPr>
      </w:pPr>
      <w:r>
        <w:rPr>
          <w:b/>
          <w:bCs/>
        </w:rPr>
        <w:lastRenderedPageBreak/>
        <w:t xml:space="preserve">Table S4 </w:t>
      </w:r>
      <w:r>
        <w:t xml:space="preserve">Morphometric measurements for prey taxa obtained from regurgitates of the masked </w:t>
      </w:r>
      <w:r>
        <w:t>booby (</w:t>
      </w:r>
      <w:r>
        <w:rPr>
          <w:rStyle w:val="Fontepargpadro"/>
          <w:i/>
          <w:iCs/>
        </w:rPr>
        <w:t xml:space="preserve">Sula </w:t>
      </w:r>
      <w:proofErr w:type="spellStart"/>
      <w:r>
        <w:rPr>
          <w:rStyle w:val="Fontepargpadro"/>
          <w:i/>
          <w:iCs/>
        </w:rPr>
        <w:t>dactylatra</w:t>
      </w:r>
      <w:proofErr w:type="spellEnd"/>
      <w:r>
        <w:t>).</w:t>
      </w:r>
    </w:p>
    <w:tbl>
      <w:tblPr>
        <w:tblW w:w="1184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099"/>
        <w:gridCol w:w="2400"/>
        <w:gridCol w:w="1921"/>
        <w:gridCol w:w="2380"/>
      </w:tblGrid>
      <w:tr w:rsidR="00E12BB0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Prey species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Masked booby</w:t>
            </w:r>
          </w:p>
        </w:tc>
      </w:tr>
      <w:tr w:rsidR="00E12BB0">
        <w:trPr>
          <w:trHeight w:val="630"/>
        </w:trPr>
        <w:tc>
          <w:tcPr>
            <w:tcW w:w="3040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E12BB0">
            <w:pPr>
              <w:rPr>
                <w:rFonts w:hint="eastAsia"/>
              </w:rPr>
            </w:pP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TL (mm)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Fork-length (mm)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CPD (mm)</w:t>
            </w:r>
          </w:p>
        </w:tc>
        <w:tc>
          <w:tcPr>
            <w:tcW w:w="238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Anal-caudal distance (mm)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left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APOGONIDAE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15"/>
        </w:trPr>
        <w:tc>
          <w:tcPr>
            <w:tcW w:w="304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Apogon pseudomaculatus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BELONIDAE</w:t>
            </w:r>
          </w:p>
        </w:tc>
        <w:tc>
          <w:tcPr>
            <w:tcW w:w="2099" w:type="dxa"/>
            <w:tcBorders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6.04±1.73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93.12±17.77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Ablennes hians</w:t>
            </w:r>
          </w:p>
        </w:tc>
        <w:tc>
          <w:tcPr>
            <w:tcW w:w="2099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347.00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338.56±78.02*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6.03±1.10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=12)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101.40±30.29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</w:tr>
      <w:tr w:rsidR="00E12BB0">
        <w:trPr>
          <w:trHeight w:val="645"/>
        </w:trPr>
        <w:tc>
          <w:tcPr>
            <w:tcW w:w="3040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Tylosurus acus</w:t>
            </w:r>
          </w:p>
        </w:tc>
        <w:tc>
          <w:tcPr>
            <w:tcW w:w="209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347.79±59.05*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7.63±0.98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107.47±18.25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CARANGIDAE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Decapterus tabl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Decapterus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260.5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235.1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9.6</w:t>
            </w:r>
          </w:p>
        </w:tc>
      </w:tr>
      <w:tr w:rsidR="00E12BB0">
        <w:trPr>
          <w:trHeight w:val="285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CEPHALOPODA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Squid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DOROSOMATIDAE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Opisthonema oglinum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195.80±23.35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=8)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158.70±22.75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13.62±1.19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79.30±8.93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=8)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Sardinella brasiliensis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EXOCOETIDAE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12.78±3.95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=8)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113.67±24.25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cyanopterus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349.90±18.64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313.9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19.31±3.83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133.60±5.75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melanurus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291.82±39.29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223.65±46.32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14.91±1.60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111.06±13.66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Cheilopogon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11.90±0.39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88.65±0.88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Exocoetus volitans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Hirundichtys affinis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252.5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193.4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18.00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121.3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Hirundichtys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HEMIRAMPHIDAE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11.90±0.39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88.65±0.88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Euleptorhamphus velox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339.5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318.8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6.4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97.8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lastRenderedPageBreak/>
              <w:t>Hemiramphus balao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Hemiramphus brasiliensis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Hemiramphus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12.3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80.7</w:t>
            </w:r>
          </w:p>
        </w:tc>
      </w:tr>
      <w:tr w:rsidR="00E12BB0">
        <w:trPr>
          <w:trHeight w:val="315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Hyporhramphus unifasciatus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Hyporhamphus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4.96±1.71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=13)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48.09±28.71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PRISTIGASTERIDAE</w:t>
            </w:r>
          </w:p>
        </w:tc>
        <w:tc>
          <w:tcPr>
            <w:tcW w:w="20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Pellona harroweri</w:t>
            </w:r>
          </w:p>
        </w:tc>
        <w:tc>
          <w:tcPr>
            <w:tcW w:w="2099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SCOMBRIDAE</w:t>
            </w:r>
          </w:p>
        </w:tc>
        <w:tc>
          <w:tcPr>
            <w:tcW w:w="20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4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9.22±4.43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  <w:tc>
          <w:tcPr>
            <w:tcW w:w="238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12.1</w:t>
            </w:r>
          </w:p>
        </w:tc>
      </w:tr>
      <w:tr w:rsidR="00E12BB0">
        <w:trPr>
          <w:trHeight w:val="330"/>
        </w:trPr>
        <w:tc>
          <w:tcPr>
            <w:tcW w:w="304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Euthynnus alletteratus</w:t>
            </w:r>
          </w:p>
        </w:tc>
        <w:tc>
          <w:tcPr>
            <w:tcW w:w="20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318.93±5.70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2400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297.37±5.32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19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7.65±0.35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2380" w:type="dxa"/>
            <w:tcBorders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126.40±2.26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</w:tr>
      <w:tr w:rsidR="00E12BB0">
        <w:trPr>
          <w:trHeight w:val="315"/>
        </w:trPr>
        <w:tc>
          <w:tcPr>
            <w:tcW w:w="304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Katsuwonus 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pelamis</w:t>
            </w:r>
          </w:p>
        </w:tc>
        <w:tc>
          <w:tcPr>
            <w:tcW w:w="209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334.4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</w:t>
            </w:r>
          </w:p>
        </w:tc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125.4</w:t>
            </w:r>
          </w:p>
        </w:tc>
      </w:tr>
    </w:tbl>
    <w:p w:rsidR="00E12BB0" w:rsidRDefault="008E7A1C">
      <w:pPr>
        <w:spacing w:line="360" w:lineRule="auto"/>
        <w:rPr>
          <w:rFonts w:hint="eastAsia"/>
        </w:rPr>
      </w:pPr>
      <w:r>
        <w:t xml:space="preserve">* </w:t>
      </w:r>
      <w:proofErr w:type="gramStart"/>
      <w:r>
        <w:t>morphometric</w:t>
      </w:r>
      <w:proofErr w:type="gramEnd"/>
      <w:r>
        <w:t xml:space="preserve"> data estimated from </w:t>
      </w:r>
      <w:proofErr w:type="spellStart"/>
      <w:r>
        <w:t>FishBase</w:t>
      </w:r>
      <w:proofErr w:type="spellEnd"/>
      <w:r>
        <w:t>.</w:t>
      </w:r>
    </w:p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8E7A1C">
      <w:pPr>
        <w:spacing w:line="360" w:lineRule="auto"/>
        <w:rPr>
          <w:rFonts w:hint="eastAsia"/>
        </w:rPr>
      </w:pPr>
      <w:r>
        <w:rPr>
          <w:b/>
          <w:bCs/>
        </w:rPr>
        <w:t xml:space="preserve">Table S5 </w:t>
      </w:r>
      <w:r>
        <w:t>Morphometric measurements for prey taxa obtained from regurgitates of the brown booby (</w:t>
      </w:r>
      <w:r>
        <w:rPr>
          <w:rStyle w:val="Fontepargpadro"/>
          <w:i/>
          <w:iCs/>
        </w:rPr>
        <w:t xml:space="preserve">Sula </w:t>
      </w:r>
      <w:proofErr w:type="spellStart"/>
      <w:r>
        <w:rPr>
          <w:rStyle w:val="Fontepargpadro"/>
          <w:i/>
          <w:iCs/>
        </w:rPr>
        <w:t>leucogaster</w:t>
      </w:r>
      <w:proofErr w:type="spellEnd"/>
      <w:r>
        <w:t>).</w:t>
      </w:r>
    </w:p>
    <w:tbl>
      <w:tblPr>
        <w:tblW w:w="1202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470"/>
        <w:gridCol w:w="2120"/>
        <w:gridCol w:w="2021"/>
        <w:gridCol w:w="2200"/>
      </w:tblGrid>
      <w:tr w:rsidR="00E12BB0">
        <w:trPr>
          <w:trHeight w:val="315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Prey species</w:t>
            </w:r>
          </w:p>
        </w:tc>
        <w:tc>
          <w:tcPr>
            <w:tcW w:w="881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Brown booby</w:t>
            </w:r>
          </w:p>
        </w:tc>
      </w:tr>
      <w:tr w:rsidR="00E12BB0">
        <w:trPr>
          <w:trHeight w:val="630"/>
        </w:trPr>
        <w:tc>
          <w:tcPr>
            <w:tcW w:w="3209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E12BB0">
            <w:pPr>
              <w:rPr>
                <w:rFonts w:hint="eastAsia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TL (mm)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Fork-length (mm)</w:t>
            </w:r>
          </w:p>
        </w:tc>
        <w:tc>
          <w:tcPr>
            <w:tcW w:w="202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CPD (mm)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Anal-caudal distance (mm)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APOGONIDAE</w:t>
            </w:r>
          </w:p>
        </w:tc>
        <w:tc>
          <w:tcPr>
            <w:tcW w:w="2470" w:type="dxa"/>
            <w:tcBorders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Apogon pseudomaculatus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BELONIDAE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4.53±0.67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99,20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Ablennes hians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350.04±80.58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338.56±78.02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6.03±1.10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=12)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101.40±30.29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Tylosurus acus</w:t>
            </w:r>
          </w:p>
        </w:tc>
        <w:tc>
          <w:tcPr>
            <w:tcW w:w="247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CARANGIDAE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4.70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36.50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3.60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24.50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Decapterus tabl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Decapterus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47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285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CEPHALOPODA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Squid</w:t>
            </w:r>
          </w:p>
        </w:tc>
        <w:tc>
          <w:tcPr>
            <w:tcW w:w="2470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DOROSOMATIDAE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37.24±2.34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34.08±1.44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6.66±3.63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Opisthonema oglinum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195.70±26.19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=9)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155.19±18.40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13.58±1.26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=10)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80.97±10.05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Sardinella brasiliensis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EXOCOETIDAE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cyanopterus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melanurus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Cheilopogon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Exocoetus volitans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Hirundichtys affinis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Hirundichtys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HEMIRAMPHIDAE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4.90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42.40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Euleptorhamphus velox</w:t>
            </w:r>
          </w:p>
        </w:tc>
        <w:tc>
          <w:tcPr>
            <w:tcW w:w="247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Hemiramphus balao</w:t>
            </w:r>
          </w:p>
        </w:tc>
        <w:tc>
          <w:tcPr>
            <w:tcW w:w="2470" w:type="dxa"/>
            <w:tcBorders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240.43±57.93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=23)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212.65±46.93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=6)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8.05±2.32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=25)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60.23±14.70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=24)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lastRenderedPageBreak/>
              <w:t>Hemiramphus brasiliensis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246.33±32.58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=26)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197.09±34.42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8.87±1.44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=27)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62.82±6.92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=25)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Hemiramphus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178.00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159.00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7.64±1.53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=13)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63.39±12.18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=7)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Hyporhramphus unifasciatus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164.00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5.90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42.80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Hyporhamphus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141.72±40.41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=10)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141.63±23.85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202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5.72±0.62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=9)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44.90±5.13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=6)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PRISTIGASTERIDAE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Pellona harroweri</w:t>
            </w:r>
          </w:p>
        </w:tc>
        <w:tc>
          <w:tcPr>
            <w:tcW w:w="247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SCOMBRIDAE</w:t>
            </w:r>
          </w:p>
        </w:tc>
        <w:tc>
          <w:tcPr>
            <w:tcW w:w="2470" w:type="dxa"/>
            <w:tcBorders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Euthynnus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 alletteratus</w:t>
            </w:r>
          </w:p>
        </w:tc>
        <w:tc>
          <w:tcPr>
            <w:tcW w:w="2470" w:type="dxa"/>
            <w:tcBorders>
              <w:top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Katsuwonus pelamis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</w:tbl>
    <w:p w:rsidR="00E12BB0" w:rsidRDefault="008E7A1C">
      <w:pPr>
        <w:spacing w:line="360" w:lineRule="auto"/>
        <w:rPr>
          <w:rFonts w:hint="eastAsia"/>
        </w:rPr>
      </w:pPr>
      <w:r>
        <w:br w:type="page"/>
      </w:r>
    </w:p>
    <w:p w:rsidR="00E12BB0" w:rsidRDefault="00E12BB0">
      <w:pPr>
        <w:spacing w:line="360" w:lineRule="auto"/>
        <w:rPr>
          <w:rFonts w:hint="eastAsia"/>
        </w:rPr>
      </w:pPr>
    </w:p>
    <w:p w:rsidR="00E12BB0" w:rsidRDefault="008E7A1C">
      <w:pPr>
        <w:spacing w:line="360" w:lineRule="auto"/>
        <w:rPr>
          <w:rFonts w:hint="eastAsia"/>
        </w:rPr>
      </w:pPr>
      <w:r>
        <w:rPr>
          <w:b/>
          <w:bCs/>
        </w:rPr>
        <w:t xml:space="preserve">Table S6 </w:t>
      </w:r>
      <w:r>
        <w:t>Morphometric measurements for prey taxa obtained from regurgitates of the red-billed tropicbird (</w:t>
      </w:r>
      <w:r>
        <w:rPr>
          <w:rStyle w:val="Fontepargpadro"/>
          <w:i/>
          <w:iCs/>
        </w:rPr>
        <w:t xml:space="preserve">Phaethon </w:t>
      </w:r>
      <w:proofErr w:type="spellStart"/>
      <w:r>
        <w:rPr>
          <w:rStyle w:val="Fontepargpadro"/>
          <w:i/>
          <w:iCs/>
        </w:rPr>
        <w:t>aethereus</w:t>
      </w:r>
      <w:proofErr w:type="spellEnd"/>
      <w:r>
        <w:t>).</w:t>
      </w:r>
    </w:p>
    <w:tbl>
      <w:tblPr>
        <w:tblW w:w="1202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310"/>
        <w:gridCol w:w="1861"/>
        <w:gridCol w:w="2299"/>
        <w:gridCol w:w="2341"/>
      </w:tblGrid>
      <w:tr w:rsidR="00E12BB0">
        <w:trPr>
          <w:trHeight w:val="315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Prey species</w:t>
            </w:r>
          </w:p>
        </w:tc>
        <w:tc>
          <w:tcPr>
            <w:tcW w:w="881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Red-billed tropicbird</w:t>
            </w:r>
          </w:p>
        </w:tc>
      </w:tr>
      <w:tr w:rsidR="00E12BB0">
        <w:trPr>
          <w:trHeight w:val="630"/>
        </w:trPr>
        <w:tc>
          <w:tcPr>
            <w:tcW w:w="3209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E12BB0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TL (mm)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Fork-length (mm)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CPD (mm)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pt-BR" w:eastAsia="pt-BR" w:bidi="ar-SA"/>
              </w:rPr>
              <w:t>Anal-caudal distance (mm)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APOGONIDAE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Apogon pseudomaculatus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110.00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93.2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9.1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50.3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BELONIDAE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8.60±1.61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Ablennes hians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6.8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Tylosurus acus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CARANGIDAE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Decapterus tabl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Decapterus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285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CEPHALOPODA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Squid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160.8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DOROSOMATIDAE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14,00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78.2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Opisthonema oglinum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Sardinella brasiliensis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176.38</w:t>
            </w:r>
          </w:p>
        </w:tc>
        <w:tc>
          <w:tcPr>
            <w:tcW w:w="1861" w:type="dxa"/>
            <w:vAlign w:val="bottom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14.1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70.6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EXOCOETIDAE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9.63±2.75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=9)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68.36±23.78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cyanopterus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645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Cheilopogon melanurus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234.74±+9.22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195.35±1.06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11.73±1.35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=6)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83.23±7.85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=6)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Cheilopogon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12.4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82.00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Exocoetus volitans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Hirundichtys affinis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Hirundichtys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12.6</w:t>
            </w:r>
          </w:p>
        </w:tc>
        <w:tc>
          <w:tcPr>
            <w:tcW w:w="23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95.5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HEMIRAMPHIDAE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26.50±35.00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66.03±5.54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=4)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Euleptorhamphus velox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357.45±44.90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304.6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8.33±0.31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=3)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112.75±1.48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=2)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lastRenderedPageBreak/>
              <w:t>Hemiramphus balao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322.50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13.4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76.1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Hemiramphus brasiliensis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8.5</w:t>
            </w:r>
          </w:p>
        </w:tc>
        <w:tc>
          <w:tcPr>
            <w:tcW w:w="2341" w:type="dxa"/>
            <w:tcBorders>
              <w:left w:val="single" w:sz="4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68.6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Hemiramphus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9,00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36.40±44.83 (n=2)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Hyporhramphus unifasciatus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 xml:space="preserve">Hyporhamphus 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sp.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PRISTIGASTERIDAE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Pellona harroweri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SCOMBRIDAE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5.72±1.57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=11)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67.84±22.71 (</w:t>
            </w: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n</w:t>
            </w: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=5)</w:t>
            </w:r>
          </w:p>
        </w:tc>
      </w:tr>
      <w:tr w:rsidR="00E12BB0">
        <w:trPr>
          <w:trHeight w:val="330"/>
        </w:trPr>
        <w:tc>
          <w:tcPr>
            <w:tcW w:w="3209" w:type="dxa"/>
            <w:tcBorders>
              <w:bottom w:val="single" w:sz="8" w:space="0" w:color="FFFFFF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Euthynnus alletteratus</w:t>
            </w:r>
          </w:p>
        </w:tc>
        <w:tc>
          <w:tcPr>
            <w:tcW w:w="2310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bottom w:val="single" w:sz="8" w:space="0" w:color="FFFFFF"/>
              <w:right w:val="single" w:sz="8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  <w:tr w:rsidR="00E12BB0">
        <w:trPr>
          <w:trHeight w:val="315"/>
        </w:trPr>
        <w:tc>
          <w:tcPr>
            <w:tcW w:w="3209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pt-BR" w:eastAsia="pt-BR" w:bidi="ar-SA"/>
              </w:rPr>
              <w:t>Katsuwonus pelamis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12BB0" w:rsidRDefault="008E7A1C">
            <w:pPr>
              <w:widowControl w:val="0"/>
              <w:suppressAutoHyphens w:val="0"/>
              <w:jc w:val="center"/>
              <w:rPr>
                <w:rFonts w:hint="eastAsia"/>
              </w:rPr>
            </w:pPr>
            <w:r>
              <w:rPr>
                <w:rStyle w:val="Fontepargpadro"/>
                <w:rFonts w:ascii="Times New Roman" w:eastAsia="Times New Roman" w:hAnsi="Times New Roman" w:cs="Times New Roman"/>
                <w:color w:val="000000"/>
                <w:kern w:val="0"/>
                <w:lang w:val="pt-BR" w:eastAsia="pt-BR" w:bidi="ar-SA"/>
              </w:rPr>
              <w:t>-</w:t>
            </w:r>
          </w:p>
        </w:tc>
      </w:tr>
    </w:tbl>
    <w:p w:rsidR="00E12BB0" w:rsidRDefault="00E12BB0">
      <w:pPr>
        <w:spacing w:line="360" w:lineRule="auto"/>
        <w:rPr>
          <w:rFonts w:hint="eastAsia"/>
        </w:rPr>
      </w:pPr>
    </w:p>
    <w:sectPr w:rsidR="00E12BB0">
      <w:pgSz w:w="15840" w:h="12240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0"/>
    <w:rsid w:val="008E7A1C"/>
    <w:rsid w:val="00E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E5A73-6A9D-45BA-9374-9B8B9463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  <w:qFormat/>
  </w:style>
  <w:style w:type="character" w:customStyle="1" w:styleId="MenoPendente">
    <w:name w:val="Menção Pendente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BalloonTextChar">
    <w:name w:val="Balloon Text Char"/>
    <w:qFormat/>
    <w:rPr>
      <w:rFonts w:ascii="Tahoma" w:eastAsia="Times New Roman" w:hAnsi="Tahoma" w:cs="Mangal"/>
      <w:color w:val="000000"/>
      <w:sz w:val="16"/>
      <w:szCs w:val="14"/>
    </w:rPr>
  </w:style>
  <w:style w:type="character" w:customStyle="1" w:styleId="Nmerodelinha">
    <w:name w:val="Número de linha"/>
    <w:qFormat/>
  </w:style>
  <w:style w:type="character" w:customStyle="1" w:styleId="TextodoEspaoReservado">
    <w:name w:val="Texto do Espaço Reservado"/>
    <w:qFormat/>
    <w:rPr>
      <w:rFonts w:ascii="Times New Roman" w:eastAsia="Times New Roman" w:hAnsi="Times New Roman" w:cs="Times New Roman"/>
      <w:color w:val="666666"/>
      <w:sz w:val="24"/>
      <w:szCs w:val="24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character" w:customStyle="1" w:styleId="MenoPendente1">
    <w:name w:val="Menção Pendente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Refdecomentrio">
    <w:name w:val="Ref. de comentário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WWCharLFO2LVL1">
    <w:name w:val="WW_CharLFO2LVL1"/>
    <w:qFormat/>
    <w:rPr>
      <w:rFonts w:eastAsia="NSimSun" w:cs="Lucida Sans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8">
    <w:name w:val="WW_CharLFO2LVL8"/>
    <w:qFormat/>
    <w:rPr>
      <w:rFonts w:cs="Courier New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customStyle="1" w:styleId="Lista">
    <w:name w:val="Lista"/>
    <w:basedOn w:val="BodyText"/>
    <w:qFormat/>
  </w:style>
  <w:style w:type="paragraph" w:customStyle="1" w:styleId="Legenda">
    <w:name w:val="Legenda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grafodaLista">
    <w:name w:val="Parágrafo da Lista"/>
    <w:basedOn w:val="Normal"/>
    <w:qFormat/>
    <w:pPr>
      <w:ind w:left="720"/>
    </w:pPr>
    <w:rPr>
      <w:rFonts w:cs="Mangal"/>
      <w:szCs w:val="21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xl163">
    <w:name w:val="xl1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62">
    <w:name w:val="xl16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61">
    <w:name w:val="xl16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60">
    <w:name w:val="xl160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9">
    <w:name w:val="xl159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8">
    <w:name w:val="xl158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7">
    <w:name w:val="xl157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6">
    <w:name w:val="xl156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5">
    <w:name w:val="xl155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4">
    <w:name w:val="xl1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3">
    <w:name w:val="xl153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2">
    <w:name w:val="xl15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1">
    <w:name w:val="xl151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50">
    <w:name w:val="xl150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9">
    <w:name w:val="xl149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8">
    <w:name w:val="xl148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7">
    <w:name w:val="xl147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6">
    <w:name w:val="xl146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5">
    <w:name w:val="xl145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4">
    <w:name w:val="xl144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43">
    <w:name w:val="xl143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2">
    <w:name w:val="xl142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1">
    <w:name w:val="xl141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40">
    <w:name w:val="xl140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9">
    <w:name w:val="xl139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8">
    <w:name w:val="xl138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7">
    <w:name w:val="xl137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6">
    <w:name w:val="xl136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5">
    <w:name w:val="xl135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4">
    <w:name w:val="xl134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3">
    <w:name w:val="xl133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2">
    <w:name w:val="xl132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1">
    <w:name w:val="xl1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30">
    <w:name w:val="xl130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9">
    <w:name w:val="xl129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8">
    <w:name w:val="xl1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7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6">
    <w:name w:val="xl126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5">
    <w:name w:val="xl125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4">
    <w:name w:val="xl124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3">
    <w:name w:val="xl123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2">
    <w:name w:val="xl122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21">
    <w:name w:val="xl121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9">
    <w:name w:val="xl119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8">
    <w:name w:val="xl118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7">
    <w:name w:val="xl117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6">
    <w:name w:val="xl116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5">
    <w:name w:val="xl115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4">
    <w:name w:val="xl114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3">
    <w:name w:val="xl113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12">
    <w:name w:val="xl112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11">
    <w:name w:val="xl111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10">
    <w:name w:val="xl110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9">
    <w:name w:val="xl109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8">
    <w:name w:val="xl108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107">
    <w:name w:val="xl107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6">
    <w:name w:val="xl106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5">
    <w:name w:val="xl105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4">
    <w:name w:val="xl104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3">
    <w:name w:val="xl103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2">
    <w:name w:val="xl102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1">
    <w:name w:val="xl101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100">
    <w:name w:val="xl100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9">
    <w:name w:val="xl99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8">
    <w:name w:val="xl98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7">
    <w:name w:val="xl97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6">
    <w:name w:val="xl96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5">
    <w:name w:val="xl95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4">
    <w:name w:val="xl94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3">
    <w:name w:val="xl93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2">
    <w:name w:val="xl92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1">
    <w:name w:val="xl91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90">
    <w:name w:val="xl90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89">
    <w:name w:val="xl89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8">
    <w:name w:val="xl88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7">
    <w:name w:val="xl87"/>
    <w:basedOn w:val="Normal"/>
    <w:qFormat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6">
    <w:name w:val="xl86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5">
    <w:name w:val="xl85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4">
    <w:name w:val="xl84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3">
    <w:name w:val="xl83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2">
    <w:name w:val="xl82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1">
    <w:name w:val="xl81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9">
    <w:name w:val="xl79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8">
    <w:name w:val="xl78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6">
    <w:name w:val="xl76"/>
    <w:basedOn w:val="Normal"/>
    <w:qFormat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i/>
      <w:iCs/>
      <w:kern w:val="0"/>
      <w:lang w:val="pt-BR" w:eastAsia="pt-BR" w:bidi="ar-SA"/>
    </w:rPr>
  </w:style>
  <w:style w:type="paragraph" w:customStyle="1" w:styleId="xl75">
    <w:name w:val="xl75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4">
    <w:name w:val="xl74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1">
    <w:name w:val="xl71"/>
    <w:basedOn w:val="Normal"/>
    <w:qFormat/>
    <w:pP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xl64">
    <w:name w:val="xl64"/>
    <w:basedOn w:val="Normal"/>
    <w:qFormat/>
    <w:pPr>
      <w:suppressAutoHyphens w:val="0"/>
      <w:spacing w:before="100" w:after="100"/>
    </w:pPr>
    <w:rPr>
      <w:rFonts w:ascii="Arial" w:eastAsia="Times New Roman" w:hAnsi="Arial" w:cs="Arial"/>
      <w:kern w:val="0"/>
      <w:sz w:val="20"/>
      <w:szCs w:val="20"/>
      <w:lang w:val="pt-BR" w:eastAsia="pt-BR" w:bidi="ar-SA"/>
    </w:rPr>
  </w:style>
  <w:style w:type="paragraph" w:customStyle="1" w:styleId="xl63">
    <w:name w:val="xl63"/>
    <w:basedOn w:val="Normal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0"/>
      <w:szCs w:val="20"/>
      <w:lang w:val="pt-BR" w:eastAsia="pt-BR" w:bidi="ar-SA"/>
    </w:rPr>
  </w:style>
  <w:style w:type="paragraph" w:customStyle="1" w:styleId="font6">
    <w:name w:val="font6"/>
    <w:basedOn w:val="Normal"/>
    <w:qFormat/>
    <w:pPr>
      <w:suppressAutoHyphens w:val="0"/>
      <w:spacing w:before="100" w:after="100"/>
    </w:pPr>
    <w:rPr>
      <w:rFonts w:ascii="Times New Roman" w:eastAsia="Times New Roman" w:hAnsi="Times New Roman" w:cs="Times New Roman"/>
      <w:i/>
      <w:iCs/>
      <w:color w:val="000000"/>
      <w:kern w:val="0"/>
      <w:lang w:val="pt-BR" w:eastAsia="pt-BR" w:bidi="ar-SA"/>
    </w:rPr>
  </w:style>
  <w:style w:type="paragraph" w:customStyle="1" w:styleId="font5">
    <w:name w:val="font5"/>
    <w:basedOn w:val="Normal"/>
    <w:qFormat/>
    <w:pPr>
      <w:suppressAutoHyphens w:val="0"/>
      <w:spacing w:before="100" w:after="100"/>
    </w:pPr>
    <w:rPr>
      <w:rFonts w:ascii="Times New Roman" w:eastAsia="Times New Roman" w:hAnsi="Times New Roman" w:cs="Times New Roman"/>
      <w:color w:val="000000"/>
      <w:kern w:val="0"/>
      <w:lang w:val="pt-BR" w:eastAsia="pt-BR" w:bidi="ar-SA"/>
    </w:rPr>
  </w:style>
  <w:style w:type="paragraph" w:customStyle="1" w:styleId="msonormal0">
    <w:name w:val="msonormal"/>
    <w:basedOn w:val="Normal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val="pt-BR" w:eastAsia="pt-BR" w:bidi="ar-SA"/>
    </w:rPr>
  </w:style>
  <w:style w:type="paragraph" w:customStyle="1" w:styleId="Textodebalo">
    <w:name w:val="Texto de balão"/>
    <w:basedOn w:val="Normal"/>
    <w:qFormat/>
    <w:rPr>
      <w:rFonts w:ascii="Tahoma" w:eastAsia="Tahoma" w:hAnsi="Tahoma" w:cs="Mangal"/>
      <w:sz w:val="16"/>
      <w:szCs w:val="14"/>
    </w:rPr>
  </w:style>
  <w:style w:type="paragraph" w:customStyle="1" w:styleId="Reviso">
    <w:name w:val="Revisão"/>
    <w:qFormat/>
    <w:rPr>
      <w:rFonts w:cs="Mangal"/>
      <w:szCs w:val="21"/>
    </w:rPr>
  </w:style>
  <w:style w:type="paragraph" w:customStyle="1" w:styleId="Assuntodocomentrio">
    <w:name w:val="Assunto do comentário"/>
    <w:qFormat/>
    <w:pPr>
      <w:widowControl w:val="0"/>
      <w:suppressAutoHyphens/>
    </w:pPr>
    <w:rPr>
      <w:rFonts w:cs="Mangal"/>
      <w:b/>
      <w:bCs/>
      <w:sz w:val="20"/>
      <w:szCs w:val="18"/>
    </w:rPr>
  </w:style>
  <w:style w:type="paragraph" w:customStyle="1" w:styleId="Textodecomentrio">
    <w:name w:val="Texto de comentário"/>
    <w:basedOn w:val="Normal"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Aves Marinhas</dc:creator>
  <dc:description/>
  <cp:lastModifiedBy>Arden Badon</cp:lastModifiedBy>
  <cp:revision>10</cp:revision>
  <dcterms:created xsi:type="dcterms:W3CDTF">2024-06-14T17:27:00Z</dcterms:created>
  <dcterms:modified xsi:type="dcterms:W3CDTF">2024-07-27T05:46:00Z</dcterms:modified>
  <dc:language>en-US</dc:language>
</cp:coreProperties>
</file>