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t>Extinction and loss of genetic diversity in a pantropical seabird population in the southwestern Atlantic Ocean</w:t>
      </w:r>
    </w:p>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Vitória Muraro</w:t>
      </w:r>
      <w:r>
        <w:rPr>
          <w:rFonts w:cs="Times New Roman" w:ascii="Times New Roman" w:hAnsi="Times New Roman"/>
          <w:b/>
          <w:sz w:val="24"/>
          <w:szCs w:val="24"/>
          <w:vertAlign w:val="superscript"/>
        </w:rPr>
        <w:t>1*</w:t>
      </w:r>
      <w:r>
        <w:rPr>
          <w:rFonts w:cs="Times New Roman" w:ascii="Times New Roman" w:hAnsi="Times New Roman"/>
          <w:b/>
          <w:sz w:val="24"/>
          <w:szCs w:val="24"/>
        </w:rPr>
        <w:t>, Aline M.C.R. Fregonezi</w:t>
      </w:r>
      <w:r>
        <w:rPr>
          <w:rFonts w:cs="Times New Roman" w:ascii="Times New Roman" w:hAnsi="Times New Roman"/>
          <w:b/>
          <w:sz w:val="24"/>
          <w:szCs w:val="24"/>
          <w:vertAlign w:val="superscript"/>
        </w:rPr>
        <w:t>1</w:t>
      </w:r>
      <w:r>
        <w:rPr>
          <w:rFonts w:cs="Times New Roman" w:ascii="Times New Roman" w:hAnsi="Times New Roman"/>
          <w:b/>
          <w:sz w:val="24"/>
          <w:szCs w:val="24"/>
        </w:rPr>
        <w:t>, Leandro Bugoni</w:t>
      </w:r>
      <w:r>
        <w:rPr>
          <w:rFonts w:cs="Times New Roman" w:ascii="Times New Roman" w:hAnsi="Times New Roman"/>
          <w:b/>
          <w:sz w:val="24"/>
          <w:szCs w:val="24"/>
          <w:vertAlign w:val="superscript"/>
        </w:rPr>
        <w:t>1</w:t>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SUPPORTING INFORMATION 1</w:t>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Ttulo2"/>
        <w:numPr>
          <w:ilvl w:val="1"/>
          <w:numId w:val="2"/>
        </w:numPr>
        <w:spacing w:before="0" w:after="0"/>
        <w:contextualSpacing/>
        <w:rPr>
          <w:lang w:val="en-US"/>
        </w:rPr>
      </w:pPr>
      <w:bookmarkStart w:id="0" w:name="_Toc25831313"/>
      <w:r>
        <w:rPr>
          <w:lang w:val="en-US"/>
        </w:rPr>
        <w:t xml:space="preserve"> </w:t>
      </w:r>
      <w:r>
        <w:rPr>
          <w:lang w:val="en-US"/>
        </w:rPr>
        <w:t>DNA extraction and microsatellite amplification</w:t>
      </w:r>
      <w:bookmarkEnd w:id="0"/>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Amplifications were performed with primers described for </w:t>
      </w:r>
      <w:r>
        <w:rPr>
          <w:rFonts w:cs="Times New Roman" w:ascii="Times New Roman" w:hAnsi="Times New Roman"/>
          <w:i/>
          <w:sz w:val="24"/>
          <w:szCs w:val="24"/>
          <w:lang w:val="en-US"/>
        </w:rPr>
        <w:t>Sula nebouxii</w:t>
      </w:r>
      <w:r>
        <w:rPr>
          <w:rFonts w:cs="Times New Roman" w:ascii="Times New Roman" w:hAnsi="Times New Roman"/>
          <w:sz w:val="24"/>
          <w:szCs w:val="24"/>
          <w:lang w:val="en-US"/>
        </w:rPr>
        <w:t xml:space="preserve"> and </w:t>
      </w:r>
      <w:r>
        <w:rPr>
          <w:rFonts w:cs="Times New Roman" w:ascii="Times New Roman" w:hAnsi="Times New Roman"/>
          <w:i/>
          <w:sz w:val="24"/>
          <w:szCs w:val="24"/>
          <w:lang w:val="en-US"/>
        </w:rPr>
        <w:t>Sula variegata</w:t>
      </w:r>
      <w:r>
        <w:rPr>
          <w:rFonts w:cs="Times New Roman" w:ascii="Times New Roman" w:hAnsi="Times New Roman"/>
          <w:sz w:val="24"/>
          <w:szCs w:val="24"/>
          <w:lang w:val="en-US"/>
        </w:rPr>
        <w:t xml:space="preserve"> (Taylor et al. 2010). Fluorescences labeled with the M13 (-21) tail were incorporated into the Polymerase Chain Reaction (PCR; Schuelke 2000). For blood samples, reactions were performed with a final volume of 20 µl, containing approximately 50 ng of DNA, 0.1 µM of the forward primer, 0.2 µM of the reverse primer and HEX or FAM fluorescence, 0.2 mM of each dNTP, 1.5 mM of MgCl</w:t>
      </w:r>
      <w:r>
        <w:rPr>
          <w:rFonts w:cs="Times New Roman" w:ascii="Times New Roman" w:hAnsi="Times New Roman"/>
          <w:sz w:val="24"/>
          <w:szCs w:val="24"/>
          <w:vertAlign w:val="subscript"/>
          <w:lang w:val="en-US"/>
        </w:rPr>
        <w:t>2</w:t>
      </w:r>
      <w:r>
        <w:rPr>
          <w:rFonts w:cs="Times New Roman" w:ascii="Times New Roman" w:hAnsi="Times New Roman"/>
          <w:sz w:val="24"/>
          <w:szCs w:val="24"/>
          <w:lang w:val="en-US"/>
        </w:rPr>
        <w:t>, 1× buffer, and 1 unit of Taq DNA Polymerase. The PCR programs were used according to Nunes and Bugoni (2017), with the following PCR profile: 94°C for 5 min, followed by 35 cycles of 94°C for 30 s, annealing temperature for 30 s, and 72°C for 30 s, with final extension at 72°C for 10 min. The primer-specific annealing temperature was adjusted as follows: 50°C for Sv2A-95, Sv2A-47, and Sv2B-27; 52°C for Sv2A-2 and Sn2A-123; 54°C for Sn2B-100; and 56°C for Sv2A-26 and Sn2B-83.</w:t>
      </w:r>
    </w:p>
    <w:p>
      <w:pPr>
        <w:pStyle w:val="Normal"/>
        <w:spacing w:lineRule="auto" w:line="360" w:before="0" w:after="0"/>
        <w:ind w:firstLine="284"/>
        <w:jc w:val="both"/>
        <w:rPr>
          <w:rFonts w:ascii="Times New Roman" w:hAnsi="Times New Roman" w:cs="Times New Roman"/>
          <w:sz w:val="24"/>
          <w:szCs w:val="24"/>
          <w:lang w:val="en-US"/>
        </w:rPr>
      </w:pPr>
      <w:r>
        <w:rPr>
          <w:rFonts w:cs="Times New Roman" w:ascii="Times New Roman" w:hAnsi="Times New Roman"/>
          <w:sz w:val="24"/>
          <w:szCs w:val="24"/>
          <w:lang w:val="en-US"/>
        </w:rPr>
        <w:t>For interdigital membrane samples, PCR reactions were performed using the same protocol described above, except for the quantity of template DNA used, which was approximately 30 ng. The PCR programs also followed Nunes and Bugoni (2017), only with the following change for the amplification of these samples: 40 amplification cycles and 45 s of extension within each cycle.</w:t>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ListParagraph"/>
        <w:numPr>
          <w:ilvl w:val="1"/>
          <w:numId w:val="2"/>
        </w:numPr>
        <w:spacing w:lineRule="auto" w:line="360" w:before="0" w:after="0"/>
        <w:contextualSpacing/>
        <w:jc w:val="both"/>
        <w:rPr>
          <w:rFonts w:ascii="Times New Roman" w:hAnsi="Times New Roman" w:cs="Times New Roman"/>
          <w:b/>
          <w:b/>
          <w:sz w:val="24"/>
          <w:szCs w:val="24"/>
          <w:lang w:val="en-US"/>
        </w:rPr>
      </w:pPr>
      <w:r>
        <w:rPr>
          <w:rFonts w:cs="Times New Roman" w:ascii="Times New Roman" w:hAnsi="Times New Roman"/>
          <w:b/>
          <w:sz w:val="24"/>
          <w:szCs w:val="24"/>
          <w:lang w:val="en-US"/>
        </w:rPr>
        <w:t xml:space="preserve"> </w:t>
      </w:r>
      <w:r>
        <w:rPr>
          <w:rFonts w:cs="Times New Roman" w:ascii="Times New Roman" w:hAnsi="Times New Roman"/>
          <w:b/>
          <w:sz w:val="24"/>
          <w:szCs w:val="24"/>
          <w:lang w:val="en-US"/>
        </w:rPr>
        <w:t>Microsatellite analysis</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The peaks resulting from genotyping were checked manually using the Peak Scanner program (Applied Biosystems). The presence of null alleles was checked with MICRO-CHEKER 2.2.3 (van Oosterhout et al. 2004). For the two sampled sites, genetic diversity indices were calculated, such as observed and expected heterozygosity, deviations from Hardy-Weinberg equilibrium (Nei 1978), and allelic richness using Arlequin 3.5 (Excoffier and Lischer 2010), FSTAT (Goudet 1995) and GenePop 4.4 (Rousset 2008) programs. Linkage disequilibrium tests between pairs of loci were performed with the Arlequin 3.5 program. The population structure between the two colonies studied was tested using two techniques: a multivariate and a Bayesian. The Principal Coordinate Analysis (PCoA), a multivariate technique, was performed in the GenAlEx 6.5 program (Peakall and Smouse 2012) with standardized data to identify the similarity and clustering between the colonies. A Bayesian cluster analysis was also performed in the STRUCTURE 2.3.4 program, which determines the most plausible number of genetic groups represented by K (Pritchard et al. 2000). The numbers of K from 1 to 5 were tested through 5 independent iterations for each K with 50,000 burn-in steps and 500,000 Markov chains. K was determined from 1 to 5 to consider the possibility of subpopulations on the sampled islands. The calculation of ΔK (Evanno et al. 2005) was used to detect the best K through STRUCTURE HARVESTER Web 0.6.94 (Earl and vonHoldt 2012). The five independent runs for the best K were merged with the CLUMPP 1.1.2 program (Jakobsson and Rosenberg 2007). The DISTRUCT 1.1 program (Rosenberg 2004) was used to generate the bar graph of the assignment of individuals to different clusters to demonstrate the percentage of shared ancestry between organisms, in which each bar represents an individual and the colors represent distinct lineages. For comparison, the Puechmaille (2016) method was also used to detect the best number of K, through STRUCTURE SELECTOR (Li and Liu 2018). The BOTTLENECK 1.2.02 program (Piry et al. 1999) was used to test whether the populations are in equilibrium between mutation and genetic drift, according to the methodology described by Cornuet and Luikart (1996). </w:t>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hanging="0"/>
        <w:jc w:val="both"/>
        <w:rPr>
          <w:rFonts w:ascii="Times New Roman" w:hAnsi="Times New Roman" w:cs="Times New Roman"/>
          <w:b/>
          <w:b/>
          <w:sz w:val="24"/>
          <w:szCs w:val="24"/>
          <w:lang w:val="en-US"/>
        </w:rPr>
      </w:pPr>
      <w:r>
        <w:rPr>
          <w:rFonts w:cs="Times New Roman" w:ascii="Times New Roman" w:hAnsi="Times New Roman"/>
          <w:b/>
          <w:sz w:val="24"/>
          <w:szCs w:val="24"/>
          <w:lang w:val="en-US"/>
        </w:rPr>
        <w:t>References</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Cornuet JM, Luikart G (1996) Description and power analysis of two tests for detecting recent population bottlenecks from allele frequency data. Genetics 144:2001–2014. https://doi.org/10.1093/genetics/144.4.2001</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Earl DA, vonHoldt BM (2012) STRUCTURE HARVESTER: a website and program for visualizing STRUCTURE output and implementing the Evanno method. Conserv Genet Resour 4:359–361. https://doi.org/10.1007/s12686-011-9548-7</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Evanno G, Regnaut S, Goudet J (2005) Detecting the number of clusters of individuals using the software STRUCTURE: a simulation study. Mol Ecol 14:2611–2620. https://doi.org/10.1111/j.1365-294X.2005.02553.x</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Excoffier L, Lischer HEL (2010) Arlequin ver 3.5: a new series of programs to perform population genetics analyses under Linux and Windows. Mol Ecol Resour 10:564–567. https://doi.org/10.1111/j.1755-0998.2010.02847.x</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Goudet J (1995) FSTAT (version 1.2): a computer program to calculate F-statistics. J Hered 86:485–486. https://doi.org/10.1093/oxfordjournals.jhered.a111627</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Jakobsson M, Rosenberg NA (2007) CLUMPP: a cluster matching and permutation program for dealing with label switching and multimodality in analysis of population structure. Bioinformatics 23:1801–1806. https://doi.org/10.1093/bioinformatics/btm233</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Li YL, Liu JX (2018) StructureSelector: a web‐based software to select and visualize the optimal number of clusters using multiple methods. Mol Ecol Resour 18:176–177. https://doi.org/10.1111/1755-0998.12719</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Luikart G, Allendorf FW, Cornuet JM, Sherwin WB (1998) Distortion of allele frequency distributions provides a test for recent population bottlenecks. J Hered 89:238–247. https://doi.org/10.1093/jhered/89.3.238</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Nei M (1978) Estimation of average heterozygosity and genetic distance from a small number of individuals. Genetics 89:583–590. https://doi.org/10.1093/genetics/89.3.583</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Nunes GT, Bugoni L (2017) Local adaptation drives population isolation in a tropical seabird. J Biogeogr 45:332–341. https://doi.org/10.1111/jbi.13142</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Peakall R, Smouse PE (2012) GenAlEx 6.5: genetic analysis in Excel. Population genetic software for teaching and research – an update. Bioinformatics 28:2537–2539. https://doi.org/10.1093/bioinformatics/bts460</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Piry S, Luikart G, Cornuet JM (1999) BOTTLENECK: a computer program for detecting recent reductions in the effective size using allele frequency data. J Hered 90:502–503. https://doi.org/10.1093/jhered/90.4.502</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Pritchard JK, Stephens M, Donnelly P (2000) Inference of population structure using multilocus genotype data. Genetics 155:945–959. https://doi.org/10.1093/genetics/155.2.945</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Puechmaille SJ (2016) The program STRUCTURE does not reliably recover the correct population structure when sampling is uneven: subsampling and new estimators alleviate the problem. Mol Ecol Resour 16:608–627. https://doi.org/10.1111/1755-0998.12512</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Rosenberg NA (2004) DISTRUCT: a program for the graphical display of population structure. Mol Ecol Notes 4:137–138. https://doi.org/10.1046/j.1471-8286.2003.00566.x</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Rousset F (2008) Genepop: a complete reimplementation of the Genepop software for Windows and Linux. Mol Ecol Resour 8:103–106. https://doi.org/10.1111/j.1471-8286.2007.01931.x</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Schuelke M (2000) An economic method for the fluorescent labeling of PCR fragments. Nat Biotechnol 18:233–234. https://doi.org/10.1038/72708</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Taylor AS, Morris-Pocock JA, Sun Z, Friesen VL (2010) Isolation and characterization of ten microsatellite loci in blue-footed (</w:t>
      </w:r>
      <w:r>
        <w:rPr>
          <w:rFonts w:cs="Times New Roman" w:ascii="Times New Roman" w:hAnsi="Times New Roman"/>
          <w:i/>
          <w:iCs/>
          <w:sz w:val="24"/>
          <w:szCs w:val="24"/>
          <w:lang w:val="en-US"/>
        </w:rPr>
        <w:t>Sula nebouxii</w:t>
      </w:r>
      <w:r>
        <w:rPr>
          <w:rFonts w:cs="Times New Roman" w:ascii="Times New Roman" w:hAnsi="Times New Roman"/>
          <w:sz w:val="24"/>
          <w:szCs w:val="24"/>
          <w:lang w:val="en-US"/>
        </w:rPr>
        <w:t>) and Peruvian boobies (</w:t>
      </w:r>
      <w:r>
        <w:rPr>
          <w:rFonts w:cs="Times New Roman" w:ascii="Times New Roman" w:hAnsi="Times New Roman"/>
          <w:i/>
          <w:iCs/>
          <w:sz w:val="24"/>
          <w:szCs w:val="24"/>
          <w:lang w:val="en-US"/>
        </w:rPr>
        <w:t>Sula variegata</w:t>
      </w:r>
      <w:r>
        <w:rPr>
          <w:rFonts w:cs="Times New Roman" w:ascii="Times New Roman" w:hAnsi="Times New Roman"/>
          <w:sz w:val="24"/>
          <w:szCs w:val="24"/>
          <w:lang w:val="en-US"/>
        </w:rPr>
        <w:t>). J Ornithol 151:525–528. https://doi.org/10.1007/s10336-009-0477-0</w:t>
      </w:r>
    </w:p>
    <w:p>
      <w:pPr>
        <w:pStyle w:val="Normal"/>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van Oosterhout C, Hutchinson WF, Wills DP, Shipley P (2004) MICRO‐CHECKER: software for identifying and correcting genotyping errors in microsatellite data. Mol Ecol Notes 4:535–538. https://doi.org/10.1111/j.1471-8286.2004.00684.x</w:t>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ind w:firstLine="360"/>
        <w:jc w:val="center"/>
        <w:rPr>
          <w:rFonts w:ascii="Times New Roman" w:hAnsi="Times New Roman" w:cs="Times New Roman"/>
          <w:b/>
          <w:b/>
          <w:sz w:val="24"/>
          <w:szCs w:val="24"/>
          <w:lang w:val="en-US"/>
        </w:rPr>
      </w:pPr>
      <w:r>
        <w:rPr>
          <w:rFonts w:cs="Times New Roman" w:ascii="Times New Roman" w:hAnsi="Times New Roman"/>
          <w:b/>
          <w:sz w:val="24"/>
          <w:szCs w:val="24"/>
          <w:lang w:val="en-US"/>
        </w:rPr>
        <w:t>SUPPORTING INFORMATION 2</w:t>
      </w:r>
    </w:p>
    <w:p>
      <w:pPr>
        <w:pStyle w:val="Normal"/>
        <w:spacing w:lineRule="auto" w:line="360" w:before="0" w:after="0"/>
        <w:ind w:firstLine="360"/>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360" w:before="0" w:after="0"/>
        <w:ind w:hanging="0"/>
        <w:jc w:val="both"/>
        <w:rPr>
          <w:rFonts w:ascii="Times New Roman" w:hAnsi="Times New Roman" w:cs="Times New Roman"/>
          <w:b/>
          <w:b/>
          <w:color w:val="000000" w:themeColor="text1"/>
          <w:sz w:val="24"/>
          <w:szCs w:val="24"/>
          <w:lang w:val="en-US"/>
        </w:rPr>
      </w:pPr>
      <w:r>
        <w:rPr>
          <w:rFonts w:cs="Times New Roman" w:ascii="Times New Roman" w:hAnsi="Times New Roman"/>
          <w:b/>
          <w:sz w:val="24"/>
          <w:szCs w:val="24"/>
          <w:lang w:val="en-US"/>
        </w:rPr>
        <w:t xml:space="preserve">Table S1 </w:t>
      </w:r>
      <w:r>
        <w:rPr>
          <w:rFonts w:cs="Times New Roman" w:ascii="Times New Roman" w:hAnsi="Times New Roman"/>
          <w:color w:val="000000" w:themeColor="text1"/>
          <w:sz w:val="24"/>
          <w:szCs w:val="24"/>
          <w:lang w:val="en-US"/>
        </w:rPr>
        <w:t>Number of red-footed boobies (</w:t>
      </w:r>
      <w:r>
        <w:rPr>
          <w:rFonts w:cs="Times New Roman" w:ascii="Times New Roman" w:hAnsi="Times New Roman"/>
          <w:i/>
          <w:color w:val="000000" w:themeColor="text1"/>
          <w:sz w:val="24"/>
          <w:szCs w:val="24"/>
          <w:lang w:val="en-US"/>
        </w:rPr>
        <w:t>Sula sula</w:t>
      </w:r>
      <w:r>
        <w:rPr>
          <w:rFonts w:cs="Times New Roman" w:ascii="Times New Roman" w:hAnsi="Times New Roman"/>
          <w:i w:val="false"/>
          <w:iCs w:val="false"/>
          <w:color w:val="000000" w:themeColor="text1"/>
          <w:sz w:val="24"/>
          <w:szCs w:val="24"/>
          <w:lang w:val="en-US"/>
        </w:rPr>
        <w:t>)</w:t>
      </w:r>
      <w:r>
        <w:rPr>
          <w:rFonts w:cs="Times New Roman" w:ascii="Times New Roman" w:hAnsi="Times New Roman"/>
          <w:i/>
          <w:color w:val="000000" w:themeColor="text1"/>
          <w:sz w:val="24"/>
          <w:szCs w:val="24"/>
          <w:lang w:val="en-US"/>
        </w:rPr>
        <w:t>,</w:t>
      </w:r>
      <w:r>
        <w:rPr>
          <w:rFonts w:cs="Times New Roman" w:ascii="Times New Roman" w:hAnsi="Times New Roman"/>
          <w:color w:val="000000" w:themeColor="text1"/>
          <w:sz w:val="24"/>
          <w:szCs w:val="24"/>
          <w:lang w:val="en-US"/>
        </w:rPr>
        <w:t xml:space="preserve"> sampled on tree sites of Fernando de Noronha Archipelago (</w:t>
      </w:r>
      <w:r>
        <w:rPr>
          <w:rFonts w:cs="Times New Roman" w:ascii="Times New Roman" w:hAnsi="Times New Roman"/>
          <w:i/>
          <w:color w:val="000000" w:themeColor="text1"/>
          <w:sz w:val="24"/>
          <w:szCs w:val="24"/>
          <w:lang w:val="en-US"/>
        </w:rPr>
        <w:t>n</w:t>
      </w:r>
      <w:r>
        <w:rPr>
          <w:rFonts w:cs="Times New Roman" w:ascii="Times New Roman" w:hAnsi="Times New Roman"/>
          <w:color w:val="000000" w:themeColor="text1"/>
          <w:sz w:val="24"/>
          <w:szCs w:val="24"/>
          <w:lang w:val="en-US"/>
        </w:rPr>
        <w:t xml:space="preserve"> = 34; Sancho Beach, Rata Island, and Meio Island) and Trindade Island (</w:t>
      </w:r>
      <w:r>
        <w:rPr>
          <w:rFonts w:cs="Times New Roman" w:ascii="Times New Roman" w:hAnsi="Times New Roman"/>
          <w:i/>
          <w:color w:val="000000" w:themeColor="text1"/>
          <w:sz w:val="24"/>
          <w:szCs w:val="24"/>
          <w:lang w:val="en-US"/>
        </w:rPr>
        <w:t xml:space="preserve">n </w:t>
      </w:r>
      <w:r>
        <w:rPr>
          <w:rFonts w:cs="Times New Roman" w:ascii="Times New Roman" w:hAnsi="Times New Roman"/>
          <w:color w:val="000000" w:themeColor="text1"/>
          <w:sz w:val="24"/>
          <w:szCs w:val="24"/>
          <w:lang w:val="en-US"/>
        </w:rPr>
        <w:t>= 30), in different years.</w:t>
      </w:r>
    </w:p>
    <w:p>
      <w:pPr>
        <w:pStyle w:val="Normal"/>
        <w:spacing w:lineRule="auto" w:line="360" w:before="0" w:after="0"/>
        <w:ind w:firstLine="360"/>
        <w:jc w:val="both"/>
        <w:rPr>
          <w:rFonts w:ascii="Times New Roman" w:hAnsi="Times New Roman" w:cs="Times New Roman"/>
          <w:color w:val="000000" w:themeColor="text1"/>
          <w:sz w:val="24"/>
          <w:szCs w:val="24"/>
          <w:lang w:val="en-US"/>
        </w:rPr>
      </w:pPr>
      <w:r>
        <w:rPr>
          <w:rFonts w:cs="Times New Roman" w:ascii="Times New Roman" w:hAnsi="Times New Roman"/>
          <w:color w:val="000000" w:themeColor="text1"/>
          <w:sz w:val="24"/>
          <w:szCs w:val="24"/>
          <w:lang w:val="en-US"/>
        </w:rPr>
      </w:r>
    </w:p>
    <w:tbl>
      <w:tblPr>
        <w:tblStyle w:val="TableGrid"/>
        <w:tblW w:w="790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190"/>
        <w:gridCol w:w="1984"/>
        <w:gridCol w:w="1699"/>
        <w:gridCol w:w="1562"/>
        <w:gridCol w:w="1467"/>
      </w:tblGrid>
      <w:tr>
        <w:trPr/>
        <w:tc>
          <w:tcPr>
            <w:tcW w:w="1190" w:type="dxa"/>
            <w:vMerge w:val="restart"/>
            <w:tcBorders>
              <w:left w:val="nil"/>
              <w:right w:val="nil"/>
            </w:tcBorders>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Sampling year</w:t>
            </w:r>
          </w:p>
        </w:tc>
        <w:tc>
          <w:tcPr>
            <w:tcW w:w="1984" w:type="dxa"/>
            <w:vMerge w:val="restart"/>
            <w:tcBorders>
              <w:left w:val="nil"/>
              <w:right w:val="nil"/>
            </w:tcBorders>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b/>
                <w:kern w:val="0"/>
                <w:sz w:val="24"/>
                <w:szCs w:val="24"/>
                <w:lang w:val="pt-BR" w:eastAsia="en-US" w:bidi="ar-SA"/>
              </w:rPr>
              <w:t xml:space="preserve">Trindade Island </w:t>
            </w:r>
            <w:r>
              <w:rPr>
                <w:rFonts w:eastAsia="Calibri" w:cs="Times New Roman" w:ascii="Times New Roman" w:hAnsi="Times New Roman"/>
                <w:b/>
                <w:color w:val="000000" w:themeColor="text1"/>
                <w:kern w:val="0"/>
                <w:sz w:val="24"/>
                <w:szCs w:val="24"/>
                <w:lang w:val="pt-BR" w:eastAsia="en-US" w:bidi="ar-SA"/>
              </w:rPr>
              <w:t>(</w:t>
            </w:r>
            <w:r>
              <w:rPr>
                <w:rFonts w:eastAsia="Calibri" w:cs="Times New Roman" w:ascii="Times New Roman" w:hAnsi="Times New Roman"/>
                <w:b/>
                <w:i/>
                <w:color w:val="000000" w:themeColor="text1"/>
                <w:kern w:val="0"/>
                <w:sz w:val="24"/>
                <w:szCs w:val="24"/>
                <w:lang w:val="pt-BR" w:eastAsia="en-US" w:bidi="ar-SA"/>
              </w:rPr>
              <w:t>n</w:t>
            </w:r>
            <w:r>
              <w:rPr>
                <w:rFonts w:eastAsia="Calibri" w:cs="Times New Roman" w:ascii="Times New Roman" w:hAnsi="Times New Roman"/>
                <w:b/>
                <w:color w:val="000000" w:themeColor="text1"/>
                <w:kern w:val="0"/>
                <w:sz w:val="24"/>
                <w:szCs w:val="24"/>
                <w:lang w:val="pt-BR" w:eastAsia="en-US" w:bidi="ar-SA"/>
              </w:rPr>
              <w:t xml:space="preserve"> = 30)</w:t>
            </w:r>
          </w:p>
        </w:tc>
        <w:tc>
          <w:tcPr>
            <w:tcW w:w="4728" w:type="dxa"/>
            <w:gridSpan w:val="3"/>
            <w:tcBorders>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b/>
                <w:color w:val="000000" w:themeColor="text1"/>
                <w:kern w:val="0"/>
                <w:sz w:val="24"/>
                <w:szCs w:val="24"/>
                <w:lang w:val="pt-BR" w:eastAsia="en-US" w:bidi="ar-SA"/>
              </w:rPr>
              <w:t>Fernando de Noronha Archipelago (</w:t>
            </w:r>
            <w:r>
              <w:rPr>
                <w:rFonts w:eastAsia="Calibri" w:cs="Times New Roman" w:ascii="Times New Roman" w:hAnsi="Times New Roman"/>
                <w:b/>
                <w:i/>
                <w:color w:val="000000" w:themeColor="text1"/>
                <w:kern w:val="0"/>
                <w:sz w:val="24"/>
                <w:szCs w:val="24"/>
                <w:lang w:val="pt-BR" w:eastAsia="en-US" w:bidi="ar-SA"/>
              </w:rPr>
              <w:t>n</w:t>
            </w:r>
            <w:r>
              <w:rPr>
                <w:rFonts w:eastAsia="Calibri" w:cs="Times New Roman" w:ascii="Times New Roman" w:hAnsi="Times New Roman"/>
                <w:b/>
                <w:color w:val="000000" w:themeColor="text1"/>
                <w:kern w:val="0"/>
                <w:sz w:val="24"/>
                <w:szCs w:val="24"/>
                <w:lang w:val="pt-BR" w:eastAsia="en-US" w:bidi="ar-SA"/>
              </w:rPr>
              <w:t xml:space="preserve"> = 34)</w:t>
            </w:r>
          </w:p>
        </w:tc>
      </w:tr>
      <w:tr>
        <w:trPr/>
        <w:tc>
          <w:tcPr>
            <w:tcW w:w="1190" w:type="dxa"/>
            <w:vMerge w:val="continue"/>
            <w:tcBorders>
              <w:left w:val="nil"/>
              <w:right w:val="nil"/>
            </w:tcBorders>
          </w:tcPr>
          <w:p>
            <w:pPr>
              <w:pStyle w:val="Normal"/>
              <w:widowControl w:val="false"/>
              <w:suppressAutoHyphens w:val="true"/>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1984" w:type="dxa"/>
            <w:vMerge w:val="continue"/>
            <w:tcBorders>
              <w:top w:val="nil"/>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699" w:type="dxa"/>
            <w:tcBorders>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color w:val="000000" w:themeColor="text1"/>
                <w:kern w:val="0"/>
                <w:sz w:val="24"/>
                <w:szCs w:val="24"/>
                <w:lang w:val="pt-BR" w:eastAsia="en-US" w:bidi="ar-SA"/>
              </w:rPr>
              <w:t>Sancho Beach</w:t>
            </w:r>
          </w:p>
        </w:tc>
        <w:tc>
          <w:tcPr>
            <w:tcW w:w="1562" w:type="dxa"/>
            <w:tcBorders>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Rata Island</w:t>
            </w:r>
          </w:p>
        </w:tc>
        <w:tc>
          <w:tcPr>
            <w:tcW w:w="1467" w:type="dxa"/>
            <w:tcBorders>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Meio Island</w:t>
            </w:r>
          </w:p>
        </w:tc>
      </w:tr>
      <w:tr>
        <w:trPr/>
        <w:tc>
          <w:tcPr>
            <w:tcW w:w="1190" w:type="dxa"/>
            <w:tcBorders>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1914</w:t>
            </w:r>
          </w:p>
        </w:tc>
        <w:tc>
          <w:tcPr>
            <w:tcW w:w="1984" w:type="dxa"/>
            <w:tcBorders>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w:t>
            </w:r>
          </w:p>
        </w:tc>
        <w:tc>
          <w:tcPr>
            <w:tcW w:w="1699" w:type="dxa"/>
            <w:tcBorders>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562" w:type="dxa"/>
            <w:tcBorders>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467" w:type="dxa"/>
            <w:tcBorders>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r>
      <w:tr>
        <w:trPr/>
        <w:tc>
          <w:tcPr>
            <w:tcW w:w="1190"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1916</w:t>
            </w:r>
          </w:p>
        </w:tc>
        <w:tc>
          <w:tcPr>
            <w:tcW w:w="1984"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19</w:t>
            </w:r>
          </w:p>
        </w:tc>
        <w:tc>
          <w:tcPr>
            <w:tcW w:w="1699"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562"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467"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r>
      <w:tr>
        <w:trPr/>
        <w:tc>
          <w:tcPr>
            <w:tcW w:w="1190"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1919</w:t>
            </w:r>
          </w:p>
        </w:tc>
        <w:tc>
          <w:tcPr>
            <w:tcW w:w="1984"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w:t>
            </w:r>
          </w:p>
        </w:tc>
        <w:tc>
          <w:tcPr>
            <w:tcW w:w="1699"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562"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467"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r>
      <w:tr>
        <w:trPr/>
        <w:tc>
          <w:tcPr>
            <w:tcW w:w="1190"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1921</w:t>
            </w:r>
          </w:p>
        </w:tc>
        <w:tc>
          <w:tcPr>
            <w:tcW w:w="1984"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2</w:t>
            </w:r>
          </w:p>
        </w:tc>
        <w:tc>
          <w:tcPr>
            <w:tcW w:w="1699"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562"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467"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r>
      <w:tr>
        <w:trPr/>
        <w:tc>
          <w:tcPr>
            <w:tcW w:w="1190"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color w:val="000000" w:themeColor="text1"/>
                <w:kern w:val="0"/>
                <w:sz w:val="24"/>
                <w:szCs w:val="24"/>
                <w:lang w:val="pt-BR" w:eastAsia="en-US" w:bidi="ar-SA"/>
              </w:rPr>
              <w:t>&lt;1941</w:t>
            </w:r>
          </w:p>
        </w:tc>
        <w:tc>
          <w:tcPr>
            <w:tcW w:w="1984"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2</w:t>
            </w:r>
          </w:p>
        </w:tc>
        <w:tc>
          <w:tcPr>
            <w:tcW w:w="1699"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562"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467"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r>
      <w:tr>
        <w:trPr/>
        <w:tc>
          <w:tcPr>
            <w:tcW w:w="1190"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1950</w:t>
            </w:r>
          </w:p>
        </w:tc>
        <w:tc>
          <w:tcPr>
            <w:tcW w:w="1984"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4</w:t>
            </w:r>
          </w:p>
        </w:tc>
        <w:tc>
          <w:tcPr>
            <w:tcW w:w="1699"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562"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467"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r>
      <w:tr>
        <w:trPr/>
        <w:tc>
          <w:tcPr>
            <w:tcW w:w="1190"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1988</w:t>
            </w:r>
          </w:p>
        </w:tc>
        <w:tc>
          <w:tcPr>
            <w:tcW w:w="1984"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w:t>
            </w:r>
          </w:p>
        </w:tc>
        <w:tc>
          <w:tcPr>
            <w:tcW w:w="1699"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562"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467"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r>
      <w:tr>
        <w:trPr/>
        <w:tc>
          <w:tcPr>
            <w:tcW w:w="1190"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2011</w:t>
            </w:r>
          </w:p>
        </w:tc>
        <w:tc>
          <w:tcPr>
            <w:tcW w:w="1984"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699"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10</w:t>
            </w:r>
          </w:p>
        </w:tc>
        <w:tc>
          <w:tcPr>
            <w:tcW w:w="1562"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w:t>
            </w:r>
          </w:p>
        </w:tc>
        <w:tc>
          <w:tcPr>
            <w:tcW w:w="1467"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r>
      <w:tr>
        <w:trPr/>
        <w:tc>
          <w:tcPr>
            <w:tcW w:w="1190"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2016</w:t>
            </w:r>
          </w:p>
        </w:tc>
        <w:tc>
          <w:tcPr>
            <w:tcW w:w="1984"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699"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562"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467" w:type="dxa"/>
            <w:tcBorders>
              <w:top w:val="nil"/>
              <w:left w:val="nil"/>
              <w:bottom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12</w:t>
            </w:r>
          </w:p>
        </w:tc>
      </w:tr>
      <w:tr>
        <w:trPr/>
        <w:tc>
          <w:tcPr>
            <w:tcW w:w="1190" w:type="dxa"/>
            <w:tcBorders>
              <w:top w:val="nil"/>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pt-BR" w:eastAsia="en-US" w:bidi="ar-SA"/>
              </w:rPr>
              <w:t>2018</w:t>
            </w:r>
          </w:p>
        </w:tc>
        <w:tc>
          <w:tcPr>
            <w:tcW w:w="1984" w:type="dxa"/>
            <w:tcBorders>
              <w:top w:val="nil"/>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699" w:type="dxa"/>
            <w:tcBorders>
              <w:top w:val="nil"/>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562" w:type="dxa"/>
            <w:tcBorders>
              <w:top w:val="nil"/>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0</w:t>
            </w:r>
          </w:p>
        </w:tc>
        <w:tc>
          <w:tcPr>
            <w:tcW w:w="1467" w:type="dxa"/>
            <w:tcBorders>
              <w:top w:val="nil"/>
              <w:left w:val="nil"/>
              <w:right w:val="nil"/>
            </w:tcBorders>
            <w:vAlign w:val="center"/>
          </w:tcPr>
          <w:p>
            <w:pPr>
              <w:pStyle w:val="Normal"/>
              <w:widowControl w:val="false"/>
              <w:suppressAutoHyphens w:val="true"/>
              <w:spacing w:lineRule="auto" w:line="36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11</w:t>
            </w:r>
          </w:p>
        </w:tc>
      </w:tr>
    </w:tbl>
    <w:p>
      <w:pPr>
        <w:pStyle w:val="Normal"/>
        <w:spacing w:lineRule="auto" w:line="360" w:before="0" w:after="0"/>
        <w:ind w:firstLine="36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ListParagraph"/>
        <w:spacing w:lineRule="auto" w:line="360" w:before="0" w:after="160"/>
        <w:ind w:left="360" w:hanging="0"/>
        <w:contextualSpacing/>
        <w:jc w:val="both"/>
        <w:rPr>
          <w:rFonts w:ascii="Times New Roman" w:hAnsi="Times New Roman" w:cs="Times New Roman"/>
          <w:b/>
          <w:b/>
          <w:sz w:val="24"/>
          <w:szCs w:val="24"/>
          <w:lang w:val="en-US"/>
        </w:rPr>
      </w:pPr>
      <w:r>
        <w:rPr/>
      </w:r>
    </w:p>
    <w:sectPr>
      <w:type w:val="nextPage"/>
      <w:pgSz w:w="11906" w:h="16838"/>
      <w:pgMar w:left="1701" w:right="1701" w:gutter="0" w:header="0" w:top="1417" w:footer="0" w:bottom="1417"/>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decimal"/>
      <w:lvlText w:val="%1.%2."/>
      <w:lvlJc w:val="left"/>
      <w:pPr>
        <w:tabs>
          <w:tab w:val="num" w:pos="0"/>
        </w:tabs>
        <w:ind w:left="792" w:hanging="432"/>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val="0"/>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2">
    <w:name w:val="Heading 2"/>
    <w:basedOn w:val="ListParagraph"/>
    <w:next w:val="Normal"/>
    <w:link w:val="Heading2Char"/>
    <w:uiPriority w:val="9"/>
    <w:unhideWhenUsed/>
    <w:qFormat/>
    <w:rsid w:val="002d3535"/>
    <w:pPr>
      <w:numPr>
        <w:ilvl w:val="1"/>
        <w:numId w:val="1"/>
      </w:numPr>
      <w:spacing w:lineRule="auto" w:line="360" w:before="240" w:after="200"/>
      <w:ind w:left="709" w:hanging="709"/>
      <w:contextualSpacing w:val="false"/>
      <w:jc w:val="both"/>
      <w:outlineLvl w:val="1"/>
    </w:pPr>
    <w:rPr>
      <w:rFonts w:ascii="Times New Roman" w:hAnsi="Times New Roman" w:cs="Times New Roman"/>
      <w:b/>
      <w:sz w:val="24"/>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2d3535"/>
    <w:rPr>
      <w:rFonts w:ascii="Times New Roman" w:hAnsi="Times New Roman" w:cs="Times New Roman"/>
      <w:b/>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istParagraph">
    <w:name w:val="List Paragraph"/>
    <w:basedOn w:val="Normal"/>
    <w:uiPriority w:val="34"/>
    <w:qFormat/>
    <w:rsid w:val="002d3535"/>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c6f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LibreOffice/7.2.7.2$Windows_X86_64 LibreOffice_project/8d71d29d553c0f7dcbfa38fbfda25ee34cce99a2</Application>
  <AppVersion>15.0000</AppVersion>
  <Pages>5</Pages>
  <Words>1170</Words>
  <Characters>7017</Characters>
  <CharactersWithSpaces>8084</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2024-09-28T02:42:00Z</dcterms:created>
  <dc:creator>VITORIA MURARO</dc:creator>
  <dc:description/>
  <dc:language>pt-BR</dc:language>
  <cp:lastModifiedBy/>
  <dcterms:modified xsi:type="dcterms:W3CDTF">2024-10-22T12:44:08Z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